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4D" w:rsidRDefault="00413E4B" w:rsidP="00413E4B">
      <w:pPr>
        <w:jc w:val="center"/>
        <w:rPr>
          <w:b/>
          <w:sz w:val="28"/>
          <w:szCs w:val="28"/>
        </w:rPr>
      </w:pPr>
      <w:r w:rsidRPr="0096213B">
        <w:rPr>
          <w:rFonts w:hint="eastAsia"/>
          <w:b/>
          <w:sz w:val="28"/>
          <w:szCs w:val="28"/>
        </w:rPr>
        <w:t>医学实验室质量和能力认可准则</w:t>
      </w:r>
      <w:r w:rsidR="00CC2CF5">
        <w:rPr>
          <w:rFonts w:hint="eastAsia"/>
          <w:b/>
          <w:sz w:val="28"/>
          <w:szCs w:val="28"/>
        </w:rPr>
        <w:t>的</w:t>
      </w:r>
      <w:r w:rsidRPr="0096213B">
        <w:rPr>
          <w:rFonts w:hint="eastAsia"/>
          <w:b/>
          <w:sz w:val="28"/>
          <w:szCs w:val="28"/>
        </w:rPr>
        <w:t>应用要求</w:t>
      </w:r>
    </w:p>
    <w:p w:rsidR="00413E4B" w:rsidRDefault="00CC2CF5" w:rsidP="00CB38EA">
      <w:pPr>
        <w:jc w:val="center"/>
      </w:pPr>
      <w:r w:rsidRPr="004F0D42">
        <w:rPr>
          <w:rFonts w:hint="eastAsia"/>
          <w:b/>
          <w:sz w:val="24"/>
          <w:szCs w:val="24"/>
        </w:rPr>
        <w:t>（征求意见稿）</w:t>
      </w:r>
      <w:r w:rsidR="00413E4B" w:rsidRPr="00CB38EA">
        <w:rPr>
          <w:rFonts w:hint="eastAsia"/>
          <w:b/>
          <w:sz w:val="24"/>
          <w:szCs w:val="24"/>
        </w:rPr>
        <w:t>编制说明</w:t>
      </w:r>
    </w:p>
    <w:p w:rsidR="0096213B" w:rsidRPr="00E0546A" w:rsidRDefault="0096213B" w:rsidP="0096213B">
      <w:pPr>
        <w:rPr>
          <w:b/>
          <w:sz w:val="24"/>
          <w:szCs w:val="24"/>
        </w:rPr>
      </w:pPr>
      <w:r w:rsidRPr="00E0546A">
        <w:rPr>
          <w:b/>
          <w:sz w:val="24"/>
          <w:szCs w:val="24"/>
        </w:rPr>
        <w:t>1</w:t>
      </w:r>
      <w:r w:rsidRPr="00E0546A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工作背景</w:t>
      </w:r>
    </w:p>
    <w:p w:rsidR="0096213B" w:rsidRDefault="00AF0DF8" w:rsidP="00AF0DF8">
      <w:pPr>
        <w:pStyle w:val="a3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配套</w:t>
      </w:r>
      <w:r w:rsidR="0096213B">
        <w:rPr>
          <w:rFonts w:hint="eastAsia"/>
          <w:sz w:val="24"/>
          <w:szCs w:val="24"/>
        </w:rPr>
        <w:t>CNAS-CL02</w:t>
      </w:r>
      <w:r w:rsidR="0096213B" w:rsidRPr="0096213B">
        <w:rPr>
          <w:rFonts w:hint="eastAsia"/>
          <w:sz w:val="24"/>
          <w:szCs w:val="24"/>
        </w:rPr>
        <w:t>《医学实验室质量和能力认可准则》</w:t>
      </w:r>
      <w:r w:rsidR="0096213B">
        <w:rPr>
          <w:rFonts w:hint="eastAsia"/>
          <w:sz w:val="24"/>
          <w:szCs w:val="24"/>
        </w:rPr>
        <w:t>的实施</w:t>
      </w:r>
      <w:r>
        <w:rPr>
          <w:rFonts w:hint="eastAsia"/>
          <w:sz w:val="24"/>
          <w:szCs w:val="24"/>
        </w:rPr>
        <w:t>，目前</w:t>
      </w:r>
      <w:r w:rsidR="0096213B">
        <w:rPr>
          <w:rFonts w:hint="eastAsia"/>
          <w:sz w:val="24"/>
          <w:szCs w:val="24"/>
        </w:rPr>
        <w:t>有</w:t>
      </w:r>
      <w:r w:rsidR="0096213B">
        <w:rPr>
          <w:rFonts w:hint="eastAsia"/>
          <w:sz w:val="24"/>
          <w:szCs w:val="24"/>
        </w:rPr>
        <w:t>11</w:t>
      </w:r>
      <w:r w:rsidR="0096213B">
        <w:rPr>
          <w:rFonts w:hint="eastAsia"/>
          <w:sz w:val="24"/>
          <w:szCs w:val="24"/>
        </w:rPr>
        <w:t>份应用说明，涵盖了血液、体液、生化、免疫、微生物、分子诊断、输血、细胞病理、组织病理、</w:t>
      </w:r>
      <w:r w:rsidR="0096213B">
        <w:rPr>
          <w:rFonts w:hint="eastAsia"/>
          <w:sz w:val="24"/>
          <w:szCs w:val="24"/>
        </w:rPr>
        <w:t>LIS</w:t>
      </w:r>
      <w:r w:rsidR="0096213B">
        <w:rPr>
          <w:rFonts w:hint="eastAsia"/>
          <w:sz w:val="24"/>
          <w:szCs w:val="24"/>
        </w:rPr>
        <w:t>、</w:t>
      </w:r>
      <w:r w:rsidR="0096213B">
        <w:rPr>
          <w:rFonts w:hint="eastAsia"/>
          <w:sz w:val="24"/>
          <w:szCs w:val="24"/>
        </w:rPr>
        <w:t>CT</w:t>
      </w:r>
      <w:r w:rsidR="0096213B">
        <w:rPr>
          <w:rFonts w:hint="eastAsia"/>
          <w:sz w:val="24"/>
          <w:szCs w:val="24"/>
        </w:rPr>
        <w:t>等，这些文件的部分要素有重复交叉的内容，相关标准规范已经更新但应用说明仍使用旧版的要求，而且各文件单独形成</w:t>
      </w:r>
      <w:r>
        <w:rPr>
          <w:rFonts w:hint="eastAsia"/>
          <w:sz w:val="24"/>
          <w:szCs w:val="24"/>
        </w:rPr>
        <w:t>评审</w:t>
      </w:r>
      <w:r w:rsidR="0096213B">
        <w:rPr>
          <w:rFonts w:hint="eastAsia"/>
          <w:sz w:val="24"/>
          <w:szCs w:val="24"/>
        </w:rPr>
        <w:t>核查表，评审组长反馈专业评审员会忽略应用</w:t>
      </w:r>
      <w:r w:rsidR="0096213B">
        <w:rPr>
          <w:rFonts w:hint="eastAsia"/>
          <w:sz w:val="24"/>
          <w:szCs w:val="24"/>
        </w:rPr>
        <w:t>CNAS-CL02</w:t>
      </w:r>
      <w:r w:rsidR="0096213B">
        <w:rPr>
          <w:rFonts w:hint="eastAsia"/>
          <w:sz w:val="24"/>
          <w:szCs w:val="24"/>
        </w:rPr>
        <w:t>基本准则，造成评审工作的不充分。</w:t>
      </w:r>
    </w:p>
    <w:p w:rsidR="0096213B" w:rsidRDefault="0096213B" w:rsidP="00AF0DF8">
      <w:pPr>
        <w:pStyle w:val="a3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CNAS</w:t>
      </w:r>
      <w:r>
        <w:rPr>
          <w:rFonts w:hint="eastAsia"/>
          <w:sz w:val="24"/>
          <w:szCs w:val="24"/>
        </w:rPr>
        <w:t>部门重新调整后，特殊标准</w:t>
      </w:r>
      <w:r w:rsidR="00AF0DF8">
        <w:rPr>
          <w:rFonts w:hint="eastAsia"/>
          <w:sz w:val="24"/>
          <w:szCs w:val="24"/>
        </w:rPr>
        <w:t>实验室</w:t>
      </w:r>
      <w:proofErr w:type="gramStart"/>
      <w:r w:rsidR="00AF0DF8">
        <w:rPr>
          <w:rFonts w:hint="eastAsia"/>
          <w:sz w:val="24"/>
          <w:szCs w:val="24"/>
        </w:rPr>
        <w:t>认可</w:t>
      </w:r>
      <w:r>
        <w:rPr>
          <w:rFonts w:hint="eastAsia"/>
          <w:sz w:val="24"/>
          <w:szCs w:val="24"/>
        </w:rPr>
        <w:t>部</w:t>
      </w:r>
      <w:proofErr w:type="gramEnd"/>
      <w:r>
        <w:rPr>
          <w:rFonts w:hint="eastAsia"/>
          <w:sz w:val="24"/>
          <w:szCs w:val="24"/>
        </w:rPr>
        <w:t>对本部门负责的认可制度相关文件</w:t>
      </w:r>
      <w:r w:rsidR="00D63AEA">
        <w:rPr>
          <w:rFonts w:hint="eastAsia"/>
          <w:sz w:val="24"/>
          <w:szCs w:val="24"/>
        </w:rPr>
        <w:t>进行了</w:t>
      </w:r>
      <w:r>
        <w:rPr>
          <w:rFonts w:hint="eastAsia"/>
          <w:sz w:val="24"/>
          <w:szCs w:val="24"/>
        </w:rPr>
        <w:t>梳理，决定对多份应用说明进行整合</w:t>
      </w:r>
      <w:r w:rsidR="00D63AEA">
        <w:rPr>
          <w:rFonts w:hint="eastAsia"/>
          <w:sz w:val="24"/>
          <w:szCs w:val="24"/>
        </w:rPr>
        <w:t>，将该文件准确定位在对</w:t>
      </w:r>
      <w:r w:rsidR="00D63AEA">
        <w:rPr>
          <w:rFonts w:hint="eastAsia"/>
          <w:sz w:val="24"/>
          <w:szCs w:val="24"/>
        </w:rPr>
        <w:t>CNAS-CL02</w:t>
      </w:r>
      <w:r w:rsidR="00D63AEA">
        <w:rPr>
          <w:rFonts w:hint="eastAsia"/>
          <w:sz w:val="24"/>
          <w:szCs w:val="24"/>
        </w:rPr>
        <w:t>的通用要求进行解释说明，确保该文件既不增加也不减少</w:t>
      </w:r>
      <w:r w:rsidR="00D63AEA">
        <w:rPr>
          <w:rFonts w:hint="eastAsia"/>
          <w:sz w:val="24"/>
          <w:szCs w:val="24"/>
        </w:rPr>
        <w:t>CNAS-CL02</w:t>
      </w:r>
      <w:r w:rsidR="00D63AEA">
        <w:rPr>
          <w:rFonts w:hint="eastAsia"/>
          <w:sz w:val="24"/>
          <w:szCs w:val="24"/>
        </w:rPr>
        <w:t>的要求，有利于突出评审重点，减轻评审记录填写工作量，提高评审效率。</w:t>
      </w:r>
    </w:p>
    <w:p w:rsidR="0096213B" w:rsidRPr="0096213B" w:rsidRDefault="0096213B" w:rsidP="00ED2335">
      <w:pPr>
        <w:pStyle w:val="a3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基于如上</w:t>
      </w:r>
      <w:r w:rsidR="00AF0DF8">
        <w:rPr>
          <w:rFonts w:hint="eastAsia"/>
          <w:sz w:val="24"/>
          <w:szCs w:val="24"/>
        </w:rPr>
        <w:t>原因，特制定《</w:t>
      </w:r>
      <w:r w:rsidR="00AF0DF8" w:rsidRPr="00AF0DF8">
        <w:rPr>
          <w:rFonts w:hint="eastAsia"/>
          <w:sz w:val="24"/>
          <w:szCs w:val="24"/>
        </w:rPr>
        <w:t>CNAS-CL02</w:t>
      </w:r>
      <w:r w:rsidR="00AF0DF8">
        <w:rPr>
          <w:rFonts w:ascii="宋体" w:hAnsi="宋体" w:hint="eastAsia"/>
          <w:sz w:val="24"/>
          <w:szCs w:val="24"/>
        </w:rPr>
        <w:t>&lt;</w:t>
      </w:r>
      <w:r w:rsidR="00AF0DF8" w:rsidRPr="00AF0DF8">
        <w:rPr>
          <w:rFonts w:hint="eastAsia"/>
          <w:sz w:val="24"/>
          <w:szCs w:val="24"/>
        </w:rPr>
        <w:t>医学实验室质量和能力认可准则</w:t>
      </w:r>
      <w:r w:rsidR="00AF0DF8">
        <w:rPr>
          <w:rFonts w:ascii="宋体" w:hAnsi="宋体" w:hint="eastAsia"/>
          <w:sz w:val="24"/>
          <w:szCs w:val="24"/>
        </w:rPr>
        <w:t>&gt;</w:t>
      </w:r>
      <w:r w:rsidR="00AF0DF8" w:rsidRPr="00AF0DF8">
        <w:rPr>
          <w:rFonts w:hint="eastAsia"/>
          <w:sz w:val="24"/>
          <w:szCs w:val="24"/>
        </w:rPr>
        <w:t>应用要求》</w:t>
      </w:r>
      <w:r w:rsidR="00AF0DF8">
        <w:rPr>
          <w:rFonts w:hint="eastAsia"/>
          <w:sz w:val="24"/>
          <w:szCs w:val="24"/>
        </w:rPr>
        <w:t>。</w:t>
      </w:r>
    </w:p>
    <w:p w:rsidR="0096213B" w:rsidRPr="00E0546A" w:rsidRDefault="0096213B" w:rsidP="0096213B">
      <w:pPr>
        <w:rPr>
          <w:b/>
          <w:sz w:val="24"/>
          <w:szCs w:val="24"/>
        </w:rPr>
      </w:pPr>
      <w:r w:rsidRPr="00E0546A">
        <w:rPr>
          <w:b/>
          <w:sz w:val="24"/>
          <w:szCs w:val="24"/>
        </w:rPr>
        <w:t>2</w:t>
      </w:r>
      <w:r w:rsidRPr="00E0546A">
        <w:rPr>
          <w:rFonts w:hint="eastAsia"/>
          <w:b/>
          <w:sz w:val="24"/>
          <w:szCs w:val="24"/>
        </w:rPr>
        <w:t>．</w:t>
      </w:r>
      <w:r w:rsidR="00AF0DF8">
        <w:rPr>
          <w:rFonts w:hint="eastAsia"/>
          <w:b/>
          <w:sz w:val="24"/>
          <w:szCs w:val="24"/>
        </w:rPr>
        <w:t>文件制定原则</w:t>
      </w:r>
    </w:p>
    <w:p w:rsidR="00E718C4" w:rsidRDefault="00E718C4" w:rsidP="00E718C4">
      <w:pPr>
        <w:pStyle w:val="a3"/>
        <w:numPr>
          <w:ilvl w:val="0"/>
          <w:numId w:val="1"/>
        </w:numPr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结构</w:t>
      </w:r>
      <w:r w:rsidR="0096213B" w:rsidRPr="00E0546A">
        <w:rPr>
          <w:rFonts w:hint="eastAsia"/>
          <w:b/>
          <w:sz w:val="24"/>
          <w:szCs w:val="24"/>
        </w:rPr>
        <w:t>编排</w:t>
      </w:r>
      <w:r>
        <w:rPr>
          <w:rFonts w:hint="eastAsia"/>
          <w:b/>
          <w:sz w:val="24"/>
          <w:szCs w:val="24"/>
        </w:rPr>
        <w:t>方式</w:t>
      </w:r>
    </w:p>
    <w:p w:rsidR="00E718C4" w:rsidRPr="00E718C4" w:rsidRDefault="00E718C4" w:rsidP="00E718C4">
      <w:pPr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由于标准版权保护，</w:t>
      </w:r>
      <w:r w:rsidRPr="00E718C4">
        <w:rPr>
          <w:sz w:val="24"/>
          <w:szCs w:val="24"/>
        </w:rPr>
        <w:t>CNAS-CL0</w:t>
      </w:r>
      <w:r w:rsidRPr="00E718C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没有正文，直接等同采用</w:t>
      </w:r>
      <w:r>
        <w:rPr>
          <w:rFonts w:hint="eastAsia"/>
          <w:sz w:val="24"/>
          <w:szCs w:val="24"/>
        </w:rPr>
        <w:t>ISO 15189</w:t>
      </w:r>
      <w:r>
        <w:rPr>
          <w:rFonts w:hint="eastAsia"/>
          <w:sz w:val="24"/>
          <w:szCs w:val="24"/>
        </w:rPr>
        <w:t>，所以</w:t>
      </w:r>
      <w:r w:rsidRPr="00E718C4">
        <w:rPr>
          <w:rFonts w:hint="eastAsia"/>
          <w:sz w:val="24"/>
          <w:szCs w:val="24"/>
        </w:rPr>
        <w:t>本文件中的条款号与</w:t>
      </w:r>
      <w:r>
        <w:rPr>
          <w:rFonts w:hint="eastAsia"/>
          <w:sz w:val="24"/>
          <w:szCs w:val="24"/>
        </w:rPr>
        <w:t>ISO 15189</w:t>
      </w:r>
      <w:r w:rsidRPr="00E718C4">
        <w:rPr>
          <w:rFonts w:hint="eastAsia"/>
          <w:sz w:val="24"/>
          <w:szCs w:val="24"/>
        </w:rPr>
        <w:t>相对应，无需进一步具体说明的实施要求只列出章、条号</w:t>
      </w:r>
      <w:r>
        <w:rPr>
          <w:rFonts w:hint="eastAsia"/>
          <w:sz w:val="24"/>
          <w:szCs w:val="24"/>
        </w:rPr>
        <w:t>，直接采用</w:t>
      </w:r>
      <w:r>
        <w:rPr>
          <w:rFonts w:hint="eastAsia"/>
          <w:sz w:val="24"/>
          <w:szCs w:val="24"/>
        </w:rPr>
        <w:t>ISO 15189</w:t>
      </w:r>
      <w:r>
        <w:rPr>
          <w:rFonts w:hint="eastAsia"/>
          <w:sz w:val="24"/>
          <w:szCs w:val="24"/>
        </w:rPr>
        <w:t>相关条款。需要解释说明</w:t>
      </w:r>
      <w:r w:rsidRPr="00E718C4">
        <w:rPr>
          <w:rFonts w:hint="eastAsia"/>
          <w:sz w:val="24"/>
          <w:szCs w:val="24"/>
        </w:rPr>
        <w:t>的具体内容在</w:t>
      </w:r>
      <w:r w:rsidRPr="00E718C4">
        <w:rPr>
          <w:sz w:val="24"/>
          <w:szCs w:val="24"/>
        </w:rPr>
        <w:t>CNAS-CL0</w:t>
      </w:r>
      <w:r w:rsidRPr="00E718C4">
        <w:rPr>
          <w:rFonts w:hint="eastAsia"/>
          <w:sz w:val="24"/>
          <w:szCs w:val="24"/>
        </w:rPr>
        <w:t>2</w:t>
      </w:r>
      <w:r w:rsidRPr="00E718C4">
        <w:rPr>
          <w:rFonts w:hint="eastAsia"/>
          <w:sz w:val="24"/>
          <w:szCs w:val="24"/>
        </w:rPr>
        <w:t>对应条款及相应要求（宋体字表示）后给出，以楷体字表示，</w:t>
      </w:r>
      <w:r>
        <w:rPr>
          <w:rFonts w:hint="eastAsia"/>
          <w:sz w:val="24"/>
          <w:szCs w:val="24"/>
        </w:rPr>
        <w:t>以进行区分</w:t>
      </w:r>
      <w:r w:rsidRPr="00E718C4">
        <w:rPr>
          <w:rFonts w:hint="eastAsia"/>
          <w:sz w:val="24"/>
          <w:szCs w:val="24"/>
        </w:rPr>
        <w:t>。</w:t>
      </w:r>
    </w:p>
    <w:p w:rsidR="0096213B" w:rsidRPr="00E0546A" w:rsidRDefault="009B3D46" w:rsidP="0096213B">
      <w:pPr>
        <w:pStyle w:val="a3"/>
        <w:numPr>
          <w:ilvl w:val="0"/>
          <w:numId w:val="1"/>
        </w:numPr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内容</w:t>
      </w:r>
    </w:p>
    <w:p w:rsidR="0096213B" w:rsidRPr="00CB38EA" w:rsidRDefault="00D10F6D" w:rsidP="00CB38E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B38EA">
        <w:rPr>
          <w:rFonts w:hint="eastAsia"/>
          <w:sz w:val="24"/>
          <w:szCs w:val="24"/>
        </w:rPr>
        <w:t>对应</w:t>
      </w:r>
      <w:r w:rsidRPr="00CB38EA">
        <w:rPr>
          <w:rFonts w:hint="eastAsia"/>
          <w:sz w:val="24"/>
          <w:szCs w:val="24"/>
        </w:rPr>
        <w:t>CNAS-CL02</w:t>
      </w:r>
      <w:r w:rsidRPr="00CB38EA">
        <w:rPr>
          <w:rFonts w:hint="eastAsia"/>
          <w:sz w:val="24"/>
          <w:szCs w:val="24"/>
        </w:rPr>
        <w:t>中相关条款要求，我国有相应的法律法规规范、国家</w:t>
      </w:r>
      <w:r w:rsidRPr="00CB38EA">
        <w:rPr>
          <w:rFonts w:hint="eastAsia"/>
          <w:sz w:val="24"/>
          <w:szCs w:val="24"/>
        </w:rPr>
        <w:t>/</w:t>
      </w:r>
      <w:r w:rsidRPr="00CB38EA">
        <w:rPr>
          <w:rFonts w:hint="eastAsia"/>
          <w:sz w:val="24"/>
          <w:szCs w:val="24"/>
        </w:rPr>
        <w:t>行业标准要求的，直接引用文件，不再在本文件中进行具体描述，以确保应用其最新版要求；</w:t>
      </w:r>
    </w:p>
    <w:p w:rsidR="00D10F6D" w:rsidRPr="00CB38EA" w:rsidRDefault="00D10F6D" w:rsidP="00CB38E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B38EA">
        <w:rPr>
          <w:rFonts w:hint="eastAsia"/>
          <w:sz w:val="24"/>
          <w:szCs w:val="24"/>
        </w:rPr>
        <w:t>各个专业有其特殊要求的，以专业实验室的相关要求进行归类描述；</w:t>
      </w:r>
    </w:p>
    <w:p w:rsidR="00D10F6D" w:rsidRPr="00CB38EA" w:rsidRDefault="00B96BA2" w:rsidP="00CB38E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B38EA">
        <w:rPr>
          <w:rFonts w:hint="eastAsia"/>
          <w:sz w:val="24"/>
          <w:szCs w:val="24"/>
        </w:rPr>
        <w:t>原</w:t>
      </w:r>
      <w:r w:rsidRPr="00CB38EA">
        <w:rPr>
          <w:rFonts w:hint="eastAsia"/>
          <w:sz w:val="24"/>
          <w:szCs w:val="24"/>
        </w:rPr>
        <w:t>LIS</w:t>
      </w:r>
      <w:r w:rsidRPr="00CB38EA">
        <w:rPr>
          <w:rFonts w:hint="eastAsia"/>
          <w:sz w:val="24"/>
          <w:szCs w:val="24"/>
        </w:rPr>
        <w:t>应用说明中分散到除</w:t>
      </w:r>
      <w:r w:rsidRPr="00CB38EA">
        <w:rPr>
          <w:rFonts w:hint="eastAsia"/>
          <w:sz w:val="24"/>
          <w:szCs w:val="24"/>
        </w:rPr>
        <w:t>5.10</w:t>
      </w:r>
      <w:r w:rsidRPr="00CB38EA">
        <w:rPr>
          <w:rFonts w:hint="eastAsia"/>
          <w:sz w:val="24"/>
          <w:szCs w:val="24"/>
        </w:rPr>
        <w:t>之外的其它条款的要求，不再具体描述；</w:t>
      </w:r>
    </w:p>
    <w:p w:rsidR="00B96BA2" w:rsidRPr="00CB38EA" w:rsidRDefault="00B96BA2" w:rsidP="00CB38E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B38EA">
        <w:rPr>
          <w:rFonts w:hint="eastAsia"/>
          <w:sz w:val="24"/>
          <w:szCs w:val="24"/>
        </w:rPr>
        <w:t>对于目前认可成熟度不高的专业，如病理、输血等专业领域，需要更加具体描述进行指导的，但不能作为强制要求的内容，视情况以认可指南的方式另行考虑，此文件中只保留通用要求。</w:t>
      </w:r>
    </w:p>
    <w:p w:rsidR="0096213B" w:rsidRPr="001833D0" w:rsidRDefault="0096213B" w:rsidP="0096213B">
      <w:pPr>
        <w:rPr>
          <w:b/>
          <w:sz w:val="24"/>
          <w:szCs w:val="24"/>
        </w:rPr>
      </w:pPr>
      <w:r w:rsidRPr="001833D0">
        <w:rPr>
          <w:b/>
          <w:sz w:val="24"/>
          <w:szCs w:val="24"/>
        </w:rPr>
        <w:t xml:space="preserve">3. </w:t>
      </w:r>
      <w:r w:rsidR="00ED2335">
        <w:rPr>
          <w:rFonts w:hint="eastAsia"/>
          <w:b/>
          <w:sz w:val="24"/>
          <w:szCs w:val="24"/>
        </w:rPr>
        <w:t>主要</w:t>
      </w:r>
      <w:r w:rsidR="00B96BA2">
        <w:rPr>
          <w:rFonts w:hint="eastAsia"/>
          <w:b/>
          <w:sz w:val="24"/>
          <w:szCs w:val="24"/>
        </w:rPr>
        <w:t>意见</w:t>
      </w:r>
      <w:r w:rsidR="00ED2335">
        <w:rPr>
          <w:rFonts w:hint="eastAsia"/>
          <w:b/>
          <w:sz w:val="24"/>
          <w:szCs w:val="24"/>
        </w:rPr>
        <w:t>处理</w:t>
      </w:r>
    </w:p>
    <w:p w:rsidR="0096213B" w:rsidRDefault="00B96BA2" w:rsidP="00B96B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本文件在评审员和实验室专家中进行了初步的征求意见，并采纳了大部分意见。</w:t>
      </w:r>
    </w:p>
    <w:p w:rsidR="00ED2335" w:rsidRPr="00ED2335" w:rsidRDefault="00ED2335" w:rsidP="00ED2335">
      <w:pPr>
        <w:rPr>
          <w:b/>
          <w:sz w:val="24"/>
          <w:szCs w:val="24"/>
        </w:rPr>
      </w:pPr>
      <w:r w:rsidRPr="00ED2335">
        <w:rPr>
          <w:rFonts w:hint="eastAsia"/>
          <w:b/>
          <w:sz w:val="24"/>
          <w:szCs w:val="24"/>
        </w:rPr>
        <w:t xml:space="preserve">4. </w:t>
      </w:r>
      <w:r w:rsidRPr="00ED2335">
        <w:rPr>
          <w:rFonts w:hint="eastAsia"/>
          <w:b/>
          <w:sz w:val="24"/>
          <w:szCs w:val="24"/>
        </w:rPr>
        <w:t>文件引起的变化</w:t>
      </w:r>
    </w:p>
    <w:p w:rsidR="00ED2335" w:rsidRDefault="00ED2335" w:rsidP="00ED2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本文件整合了原来</w:t>
      </w:r>
      <w:r>
        <w:rPr>
          <w:rFonts w:hint="eastAsia"/>
          <w:sz w:val="24"/>
          <w:szCs w:val="24"/>
        </w:rPr>
        <w:t>CNAS-CL02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个应用说明，发布之后应同步修改医学实验室认可申请书、评审报告及评审作业指导书等，并对医学实验室及评审员开展培训，</w:t>
      </w:r>
      <w:r w:rsidR="003428AA">
        <w:rPr>
          <w:rFonts w:hint="eastAsia"/>
          <w:sz w:val="24"/>
          <w:szCs w:val="24"/>
        </w:rPr>
        <w:t>不涉及修改</w:t>
      </w:r>
      <w:r>
        <w:rPr>
          <w:rFonts w:hint="eastAsia"/>
          <w:sz w:val="24"/>
          <w:szCs w:val="24"/>
        </w:rPr>
        <w:t>CNAS</w:t>
      </w:r>
      <w:r w:rsidR="003428AA">
        <w:rPr>
          <w:rFonts w:hint="eastAsia"/>
          <w:sz w:val="24"/>
          <w:szCs w:val="24"/>
        </w:rPr>
        <w:t>网站</w:t>
      </w:r>
      <w:r>
        <w:rPr>
          <w:rFonts w:hint="eastAsia"/>
          <w:sz w:val="24"/>
          <w:szCs w:val="24"/>
        </w:rPr>
        <w:t>“实验室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检验机构在线业务申请”系统</w:t>
      </w:r>
      <w:r w:rsidR="003428AA">
        <w:rPr>
          <w:rFonts w:hint="eastAsia"/>
          <w:sz w:val="24"/>
          <w:szCs w:val="24"/>
        </w:rPr>
        <w:t>结构化数据，不涉及其它部门认可</w:t>
      </w:r>
      <w:bookmarkStart w:id="0" w:name="_GoBack"/>
      <w:bookmarkEnd w:id="0"/>
      <w:r w:rsidR="003428AA">
        <w:rPr>
          <w:rFonts w:hint="eastAsia"/>
          <w:sz w:val="24"/>
          <w:szCs w:val="24"/>
        </w:rPr>
        <w:t>业务</w:t>
      </w:r>
      <w:r>
        <w:rPr>
          <w:rFonts w:hint="eastAsia"/>
          <w:sz w:val="24"/>
          <w:szCs w:val="24"/>
        </w:rPr>
        <w:t>。</w:t>
      </w:r>
    </w:p>
    <w:p w:rsidR="00ED2335" w:rsidRPr="00ED2335" w:rsidRDefault="00ED2335" w:rsidP="00ED2335">
      <w:pPr>
        <w:rPr>
          <w:b/>
          <w:sz w:val="24"/>
          <w:szCs w:val="24"/>
        </w:rPr>
      </w:pPr>
      <w:r w:rsidRPr="00ED2335">
        <w:rPr>
          <w:rFonts w:hint="eastAsia"/>
          <w:b/>
          <w:sz w:val="24"/>
          <w:szCs w:val="24"/>
        </w:rPr>
        <w:t xml:space="preserve">5. </w:t>
      </w:r>
      <w:r w:rsidRPr="00ED2335">
        <w:rPr>
          <w:rFonts w:hint="eastAsia"/>
          <w:b/>
          <w:sz w:val="24"/>
          <w:szCs w:val="24"/>
        </w:rPr>
        <w:t>文件实施建议</w:t>
      </w:r>
    </w:p>
    <w:p w:rsidR="00DF092E" w:rsidRDefault="00ED2335" w:rsidP="00CB38EA">
      <w:pPr>
        <w:ind w:firstLine="420"/>
      </w:pPr>
      <w:r>
        <w:rPr>
          <w:rFonts w:hint="eastAsia"/>
        </w:rPr>
        <w:t>本文件是</w:t>
      </w:r>
      <w:r>
        <w:rPr>
          <w:rFonts w:hint="eastAsia"/>
          <w:sz w:val="24"/>
          <w:szCs w:val="24"/>
        </w:rPr>
        <w:t>CNAS-CL02</w:t>
      </w:r>
      <w:r>
        <w:rPr>
          <w:rFonts w:hint="eastAsia"/>
          <w:sz w:val="24"/>
          <w:szCs w:val="24"/>
        </w:rPr>
        <w:t>《医学实验室质量和能力认可准则》的应用要求，需强制执行，建议文件发布后，过渡期半年，再正式实施。</w:t>
      </w:r>
    </w:p>
    <w:p w:rsidR="00DF092E" w:rsidRPr="00DF092E" w:rsidRDefault="00DF092E" w:rsidP="00DF092E">
      <w:pPr>
        <w:ind w:firstLineChars="2450" w:firstLine="5880"/>
        <w:rPr>
          <w:sz w:val="24"/>
          <w:szCs w:val="24"/>
        </w:rPr>
      </w:pPr>
      <w:r w:rsidRPr="00DF092E">
        <w:rPr>
          <w:rFonts w:hint="eastAsia"/>
          <w:sz w:val="24"/>
          <w:szCs w:val="24"/>
        </w:rPr>
        <w:t>特殊标准实验室认可部</w:t>
      </w:r>
    </w:p>
    <w:p w:rsidR="00DF092E" w:rsidRPr="00DF092E" w:rsidRDefault="00DF092E" w:rsidP="00ED2335">
      <w:pPr>
        <w:ind w:firstLineChars="2700" w:firstLine="6480"/>
        <w:rPr>
          <w:sz w:val="24"/>
          <w:szCs w:val="24"/>
        </w:rPr>
      </w:pPr>
      <w:r w:rsidRPr="00DF092E">
        <w:rPr>
          <w:rFonts w:hint="eastAsia"/>
          <w:sz w:val="24"/>
          <w:szCs w:val="24"/>
        </w:rPr>
        <w:t>202</w:t>
      </w:r>
      <w:r w:rsidR="00ED2335">
        <w:rPr>
          <w:rFonts w:hint="eastAsia"/>
          <w:sz w:val="24"/>
          <w:szCs w:val="24"/>
        </w:rPr>
        <w:t>1</w:t>
      </w:r>
      <w:r w:rsidRPr="00DF092E">
        <w:rPr>
          <w:rFonts w:hint="eastAsia"/>
          <w:sz w:val="24"/>
          <w:szCs w:val="24"/>
        </w:rPr>
        <w:t>.1</w:t>
      </w:r>
      <w:r w:rsidR="00ED2335">
        <w:rPr>
          <w:rFonts w:hint="eastAsia"/>
          <w:sz w:val="24"/>
          <w:szCs w:val="24"/>
        </w:rPr>
        <w:t>.</w:t>
      </w:r>
      <w:r w:rsidR="00BD2D55">
        <w:rPr>
          <w:rFonts w:hint="eastAsia"/>
          <w:sz w:val="24"/>
          <w:szCs w:val="24"/>
        </w:rPr>
        <w:t>12</w:t>
      </w:r>
    </w:p>
    <w:sectPr w:rsidR="00DF092E" w:rsidRPr="00DF0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C7" w:rsidRDefault="00FF36C7" w:rsidP="00CC2CF5">
      <w:r>
        <w:separator/>
      </w:r>
    </w:p>
  </w:endnote>
  <w:endnote w:type="continuationSeparator" w:id="0">
    <w:p w:rsidR="00FF36C7" w:rsidRDefault="00FF36C7" w:rsidP="00CC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C7" w:rsidRDefault="00FF36C7" w:rsidP="00CC2CF5">
      <w:r>
        <w:separator/>
      </w:r>
    </w:p>
  </w:footnote>
  <w:footnote w:type="continuationSeparator" w:id="0">
    <w:p w:rsidR="00FF36C7" w:rsidRDefault="00FF36C7" w:rsidP="00CC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594"/>
    <w:multiLevelType w:val="hybridMultilevel"/>
    <w:tmpl w:val="0D363D5A"/>
    <w:lvl w:ilvl="0" w:tplc="96C69D30">
      <w:start w:val="1"/>
      <w:numFmt w:val="bullet"/>
      <w:lvlText w:val="—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F022CDA"/>
    <w:multiLevelType w:val="hybridMultilevel"/>
    <w:tmpl w:val="AE50E6D2"/>
    <w:lvl w:ilvl="0" w:tplc="04090019">
      <w:start w:val="1"/>
      <w:numFmt w:val="lowerLetter"/>
      <w:lvlText w:val="%1)"/>
      <w:lvlJc w:val="left"/>
      <w:pPr>
        <w:ind w:left="84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2">
    <w:nsid w:val="4B874494"/>
    <w:multiLevelType w:val="hybridMultilevel"/>
    <w:tmpl w:val="38E894C4"/>
    <w:lvl w:ilvl="0" w:tplc="E032679A">
      <w:start w:val="1"/>
      <w:numFmt w:val="decimal"/>
      <w:lvlText w:val="（%1）"/>
      <w:lvlJc w:val="left"/>
      <w:pPr>
        <w:ind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4B"/>
    <w:rsid w:val="00064C4D"/>
    <w:rsid w:val="003428AA"/>
    <w:rsid w:val="00413E4B"/>
    <w:rsid w:val="004F0D42"/>
    <w:rsid w:val="0096213B"/>
    <w:rsid w:val="009B3D46"/>
    <w:rsid w:val="00AA753B"/>
    <w:rsid w:val="00AF0DF8"/>
    <w:rsid w:val="00B96BA2"/>
    <w:rsid w:val="00BD2D55"/>
    <w:rsid w:val="00C94EA9"/>
    <w:rsid w:val="00CB38EA"/>
    <w:rsid w:val="00CC2CF5"/>
    <w:rsid w:val="00D10F6D"/>
    <w:rsid w:val="00D63AEA"/>
    <w:rsid w:val="00DF092E"/>
    <w:rsid w:val="00E718C4"/>
    <w:rsid w:val="00ED2335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13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CC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C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C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13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CC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C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胡冬梅</dc:creator>
  <cp:lastModifiedBy>胡冬梅</cp:lastModifiedBy>
  <cp:revision>14</cp:revision>
  <dcterms:created xsi:type="dcterms:W3CDTF">2020-10-15T06:09:00Z</dcterms:created>
  <dcterms:modified xsi:type="dcterms:W3CDTF">2021-01-12T06:13:00Z</dcterms:modified>
</cp:coreProperties>
</file>