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E7" w:rsidRPr="00201A20" w:rsidRDefault="008049E7" w:rsidP="00201A20">
      <w:pPr>
        <w:jc w:val="center"/>
        <w:rPr>
          <w:b/>
          <w:sz w:val="36"/>
          <w:szCs w:val="36"/>
        </w:rPr>
      </w:pPr>
      <w:r w:rsidRPr="00201A20">
        <w:rPr>
          <w:b/>
          <w:sz w:val="36"/>
          <w:szCs w:val="36"/>
        </w:rPr>
        <w:t>医学实验室</w:t>
      </w:r>
    </w:p>
    <w:p w:rsidR="00FE3B8A" w:rsidRPr="00201A20" w:rsidRDefault="000A5E39" w:rsidP="00201A2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细胞</w:t>
      </w:r>
      <w:r w:rsidR="008049E7" w:rsidRPr="00201A20">
        <w:rPr>
          <w:rFonts w:hint="eastAsia"/>
          <w:b/>
          <w:sz w:val="36"/>
          <w:szCs w:val="36"/>
        </w:rPr>
        <w:t>病理学检查</w:t>
      </w:r>
      <w:r w:rsidR="008049E7" w:rsidRPr="00201A20">
        <w:rPr>
          <w:b/>
          <w:sz w:val="36"/>
          <w:szCs w:val="36"/>
        </w:rPr>
        <w:t>领域</w:t>
      </w:r>
      <w:r w:rsidR="008049E7" w:rsidRPr="00201A20">
        <w:rPr>
          <w:rFonts w:hint="eastAsia"/>
          <w:b/>
          <w:sz w:val="36"/>
          <w:szCs w:val="36"/>
        </w:rPr>
        <w:t>认可指南</w:t>
      </w:r>
    </w:p>
    <w:p w:rsidR="00AB7ADC" w:rsidRPr="00446EAE" w:rsidRDefault="00DC44E9" w:rsidP="00AB7ADC">
      <w:pPr>
        <w:jc w:val="center"/>
        <w:rPr>
          <w:b/>
          <w:sz w:val="36"/>
          <w:szCs w:val="36"/>
        </w:rPr>
      </w:pPr>
      <w:r w:rsidRPr="00446EAE">
        <w:rPr>
          <w:b/>
          <w:sz w:val="36"/>
          <w:szCs w:val="36"/>
        </w:rPr>
        <w:t>编制说明</w:t>
      </w:r>
    </w:p>
    <w:p w:rsidR="00D92BD1" w:rsidRPr="00FE3B8A" w:rsidRDefault="00D92BD1" w:rsidP="00AB7ADC">
      <w:pPr>
        <w:jc w:val="center"/>
        <w:rPr>
          <w:b/>
          <w:sz w:val="24"/>
          <w:szCs w:val="24"/>
        </w:rPr>
      </w:pPr>
    </w:p>
    <w:p w:rsidR="00BE16B6" w:rsidRPr="00446EAE" w:rsidRDefault="00BE16B6" w:rsidP="00191D37">
      <w:pPr>
        <w:numPr>
          <w:ilvl w:val="0"/>
          <w:numId w:val="5"/>
        </w:numPr>
        <w:tabs>
          <w:tab w:val="clear" w:pos="1075"/>
        </w:tabs>
        <w:spacing w:line="360" w:lineRule="auto"/>
        <w:ind w:leftChars="55" w:left="115" w:firstLineChars="200" w:firstLine="482"/>
        <w:rPr>
          <w:rFonts w:ascii="Times New Roman"/>
          <w:b/>
          <w:sz w:val="24"/>
          <w:szCs w:val="24"/>
        </w:rPr>
      </w:pPr>
      <w:r w:rsidRPr="00446EAE">
        <w:rPr>
          <w:rFonts w:ascii="Times New Roman"/>
          <w:b/>
          <w:sz w:val="24"/>
          <w:szCs w:val="24"/>
        </w:rPr>
        <w:t>任务来源和背景</w:t>
      </w:r>
      <w:r w:rsidRPr="00446EAE">
        <w:rPr>
          <w:rFonts w:ascii="Times New Roman" w:hint="eastAsia"/>
          <w:b/>
          <w:sz w:val="24"/>
          <w:szCs w:val="24"/>
        </w:rPr>
        <w:t>：</w:t>
      </w:r>
    </w:p>
    <w:p w:rsidR="00BE16B6" w:rsidRPr="00B95C11" w:rsidRDefault="00BE16B6" w:rsidP="00191D37">
      <w:pPr>
        <w:spacing w:line="360" w:lineRule="auto"/>
        <w:ind w:leftChars="55" w:left="115" w:firstLineChars="200" w:firstLine="480"/>
        <w:rPr>
          <w:rFonts w:ascii="Times New Roman"/>
          <w:sz w:val="24"/>
          <w:szCs w:val="24"/>
        </w:rPr>
      </w:pPr>
      <w:r w:rsidRPr="00B95C11">
        <w:rPr>
          <w:rFonts w:ascii="Times New Roman" w:hint="eastAsia"/>
          <w:sz w:val="24"/>
          <w:szCs w:val="24"/>
        </w:rPr>
        <w:t>本文件是根据</w:t>
      </w:r>
      <w:r w:rsidR="000A5E39">
        <w:rPr>
          <w:rFonts w:ascii="Times New Roman" w:hint="eastAsia"/>
          <w:sz w:val="24"/>
          <w:szCs w:val="24"/>
        </w:rPr>
        <w:t>细胞</w:t>
      </w:r>
      <w:r w:rsidR="00201A20" w:rsidRPr="00201A20">
        <w:rPr>
          <w:rFonts w:ascii="Times New Roman" w:hint="eastAsia"/>
          <w:sz w:val="24"/>
          <w:szCs w:val="24"/>
        </w:rPr>
        <w:t>病理学检查</w:t>
      </w:r>
      <w:r w:rsidR="00201A20" w:rsidRPr="00201A20">
        <w:rPr>
          <w:rFonts w:ascii="Times New Roman"/>
          <w:sz w:val="24"/>
          <w:szCs w:val="24"/>
        </w:rPr>
        <w:t>领域</w:t>
      </w:r>
      <w:r w:rsidRPr="00B95C11">
        <w:rPr>
          <w:rFonts w:ascii="Times New Roman" w:hint="eastAsia"/>
          <w:sz w:val="24"/>
          <w:szCs w:val="24"/>
        </w:rPr>
        <w:t>的特性</w:t>
      </w:r>
      <w:r w:rsidR="00446EAE">
        <w:rPr>
          <w:rFonts w:ascii="Times New Roman" w:hint="eastAsia"/>
          <w:sz w:val="24"/>
          <w:szCs w:val="24"/>
        </w:rPr>
        <w:t>，</w:t>
      </w:r>
      <w:r w:rsidR="00B95C11" w:rsidRPr="00B007D3">
        <w:rPr>
          <w:rFonts w:ascii="Times New Roman" w:hint="eastAsia"/>
          <w:sz w:val="24"/>
          <w:szCs w:val="24"/>
        </w:rPr>
        <w:t>参考</w:t>
      </w:r>
      <w:r w:rsidR="00446EAE">
        <w:rPr>
          <w:rFonts w:ascii="Times New Roman" w:hint="eastAsia"/>
          <w:sz w:val="24"/>
          <w:szCs w:val="24"/>
        </w:rPr>
        <w:t>国家、</w:t>
      </w:r>
      <w:r w:rsidR="00B95C11" w:rsidRPr="00B007D3">
        <w:rPr>
          <w:rFonts w:ascii="Times New Roman" w:hint="eastAsia"/>
          <w:sz w:val="24"/>
          <w:szCs w:val="24"/>
        </w:rPr>
        <w:t>国际</w:t>
      </w:r>
      <w:r w:rsidR="00446EAE">
        <w:rPr>
          <w:rFonts w:ascii="Times New Roman" w:hint="eastAsia"/>
          <w:sz w:val="24"/>
          <w:szCs w:val="24"/>
        </w:rPr>
        <w:t>、行业</w:t>
      </w:r>
      <w:r w:rsidR="00B95C11" w:rsidRPr="00B007D3">
        <w:rPr>
          <w:rFonts w:ascii="Times New Roman" w:hint="eastAsia"/>
          <w:sz w:val="24"/>
          <w:szCs w:val="24"/>
        </w:rPr>
        <w:t>相关技术规范</w:t>
      </w:r>
      <w:r w:rsidR="00446EAE">
        <w:rPr>
          <w:rFonts w:ascii="Times New Roman" w:hint="eastAsia"/>
          <w:sz w:val="24"/>
          <w:szCs w:val="24"/>
        </w:rPr>
        <w:t>与标准</w:t>
      </w:r>
      <w:r w:rsidR="00B95C11" w:rsidRPr="00B007D3">
        <w:rPr>
          <w:rFonts w:ascii="Times New Roman" w:hint="eastAsia"/>
          <w:sz w:val="24"/>
          <w:szCs w:val="24"/>
        </w:rPr>
        <w:t>，结合</w:t>
      </w:r>
      <w:r w:rsidR="00446EAE">
        <w:rPr>
          <w:rFonts w:ascii="Times New Roman" w:hint="eastAsia"/>
          <w:sz w:val="24"/>
          <w:szCs w:val="24"/>
        </w:rPr>
        <w:t>我国</w:t>
      </w:r>
      <w:r w:rsidR="00B95C11" w:rsidRPr="00B007D3">
        <w:rPr>
          <w:rFonts w:ascii="Times New Roman" w:hint="eastAsia"/>
          <w:sz w:val="24"/>
          <w:szCs w:val="24"/>
        </w:rPr>
        <w:t>临床</w:t>
      </w:r>
      <w:r w:rsidR="00446EAE">
        <w:rPr>
          <w:rFonts w:ascii="Times New Roman" w:hint="eastAsia"/>
          <w:sz w:val="24"/>
          <w:szCs w:val="24"/>
        </w:rPr>
        <w:t>工作</w:t>
      </w:r>
      <w:r w:rsidR="00B95C11" w:rsidRPr="00B007D3">
        <w:rPr>
          <w:rFonts w:ascii="Times New Roman" w:hint="eastAsia"/>
          <w:sz w:val="24"/>
          <w:szCs w:val="24"/>
        </w:rPr>
        <w:t>实际</w:t>
      </w:r>
      <w:r w:rsidR="0048182F">
        <w:rPr>
          <w:rFonts w:ascii="Times New Roman" w:hint="eastAsia"/>
          <w:sz w:val="24"/>
          <w:szCs w:val="24"/>
        </w:rPr>
        <w:t>，</w:t>
      </w:r>
      <w:r w:rsidRPr="00B95C11">
        <w:rPr>
          <w:rFonts w:ascii="Times New Roman" w:hint="eastAsia"/>
          <w:sz w:val="24"/>
          <w:szCs w:val="24"/>
        </w:rPr>
        <w:t>对</w:t>
      </w:r>
      <w:r w:rsidRPr="00B95C11">
        <w:rPr>
          <w:rFonts w:ascii="Times New Roman"/>
          <w:sz w:val="24"/>
          <w:szCs w:val="24"/>
        </w:rPr>
        <w:t>CNAS-CL02</w:t>
      </w:r>
      <w:r w:rsidRPr="00B95C11">
        <w:rPr>
          <w:rFonts w:ascii="Times New Roman" w:hint="eastAsia"/>
          <w:sz w:val="24"/>
          <w:szCs w:val="24"/>
        </w:rPr>
        <w:t>：</w:t>
      </w:r>
      <w:r w:rsidRPr="00B95C11">
        <w:rPr>
          <w:rFonts w:ascii="Times New Roman"/>
          <w:sz w:val="24"/>
          <w:szCs w:val="24"/>
        </w:rPr>
        <w:t>2012</w:t>
      </w:r>
      <w:r w:rsidRPr="00B95C11">
        <w:rPr>
          <w:rFonts w:ascii="Times New Roman" w:hint="eastAsia"/>
          <w:sz w:val="24"/>
          <w:szCs w:val="24"/>
        </w:rPr>
        <w:t>《医学实验室质量和能力认可准则》</w:t>
      </w:r>
      <w:r w:rsidR="00B95C11">
        <w:rPr>
          <w:rFonts w:ascii="Times New Roman" w:hint="eastAsia"/>
          <w:sz w:val="24"/>
          <w:szCs w:val="24"/>
        </w:rPr>
        <w:t>中的解释和说明。</w:t>
      </w:r>
    </w:p>
    <w:p w:rsidR="00BE16B6" w:rsidRPr="00446EAE" w:rsidRDefault="00BE16B6" w:rsidP="00191D37">
      <w:pPr>
        <w:spacing w:line="360" w:lineRule="auto"/>
        <w:ind w:leftChars="55" w:left="115" w:firstLineChars="200" w:firstLine="482"/>
        <w:rPr>
          <w:rFonts w:ascii="Arial" w:hAnsi="Arial" w:cs="Arial"/>
          <w:b/>
          <w:color w:val="000000"/>
          <w:sz w:val="24"/>
          <w:szCs w:val="24"/>
        </w:rPr>
      </w:pP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二、</w:t>
      </w:r>
      <w:r w:rsidRPr="00446EAE">
        <w:rPr>
          <w:rFonts w:ascii="Arial" w:hAnsi="Arial" w:cs="Arial"/>
          <w:b/>
          <w:color w:val="000000"/>
          <w:sz w:val="24"/>
          <w:szCs w:val="24"/>
        </w:rPr>
        <w:t>主要工作过程</w:t>
      </w: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：</w:t>
      </w:r>
    </w:p>
    <w:p w:rsidR="00BE16B6" w:rsidRPr="007F1729" w:rsidRDefault="0099422E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本指南的制定经历了初稿撰写和多次</w:t>
      </w:r>
      <w:r w:rsidR="00BE16B6" w:rsidRPr="007F1729">
        <w:rPr>
          <w:rFonts w:hint="eastAsia"/>
          <w:sz w:val="24"/>
          <w:szCs w:val="24"/>
        </w:rPr>
        <w:t>专家组修订。初稿于</w:t>
      </w:r>
      <w:r w:rsidR="00BE16B6" w:rsidRPr="007F1729">
        <w:rPr>
          <w:rFonts w:hint="eastAsia"/>
          <w:sz w:val="24"/>
          <w:szCs w:val="24"/>
        </w:rPr>
        <w:t>201</w:t>
      </w:r>
      <w:r w:rsidR="0048182F">
        <w:rPr>
          <w:rFonts w:hint="eastAsia"/>
          <w:sz w:val="24"/>
          <w:szCs w:val="24"/>
        </w:rPr>
        <w:t>9</w:t>
      </w:r>
      <w:r w:rsidR="0048182F">
        <w:rPr>
          <w:rFonts w:hint="eastAsia"/>
          <w:sz w:val="24"/>
          <w:szCs w:val="24"/>
        </w:rPr>
        <w:t>年</w:t>
      </w:r>
      <w:r w:rsidR="0048182F">
        <w:rPr>
          <w:rFonts w:hint="eastAsia"/>
          <w:sz w:val="24"/>
          <w:szCs w:val="24"/>
        </w:rPr>
        <w:t>11</w:t>
      </w:r>
      <w:r w:rsidR="00BE16B6" w:rsidRPr="007F1729">
        <w:rPr>
          <w:rFonts w:hint="eastAsia"/>
          <w:sz w:val="24"/>
          <w:szCs w:val="24"/>
        </w:rPr>
        <w:t>月完成，</w:t>
      </w:r>
      <w:r w:rsidR="00191D37">
        <w:rPr>
          <w:rFonts w:hint="eastAsia"/>
          <w:sz w:val="24"/>
          <w:szCs w:val="24"/>
        </w:rPr>
        <w:t>其后多次组织全国相关</w:t>
      </w:r>
      <w:r>
        <w:rPr>
          <w:rFonts w:hint="eastAsia"/>
          <w:sz w:val="24"/>
          <w:szCs w:val="24"/>
        </w:rPr>
        <w:t>专家对指南</w:t>
      </w:r>
      <w:r w:rsidR="00191D37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进行讨论</w:t>
      </w:r>
      <w:r w:rsidR="00191D37">
        <w:rPr>
          <w:rFonts w:hint="eastAsia"/>
          <w:sz w:val="24"/>
          <w:szCs w:val="24"/>
        </w:rPr>
        <w:t>和修改</w:t>
      </w:r>
      <w:r>
        <w:rPr>
          <w:sz w:val="24"/>
          <w:szCs w:val="24"/>
        </w:rPr>
        <w:t>，</w:t>
      </w:r>
      <w:r w:rsidR="00191D37">
        <w:rPr>
          <w:rFonts w:hint="eastAsia"/>
          <w:sz w:val="24"/>
          <w:szCs w:val="24"/>
        </w:rPr>
        <w:t>终</w:t>
      </w:r>
      <w:r w:rsidR="00191D37" w:rsidRPr="007F1729">
        <w:rPr>
          <w:rFonts w:hint="eastAsia"/>
          <w:sz w:val="24"/>
          <w:szCs w:val="24"/>
        </w:rPr>
        <w:t>于</w:t>
      </w:r>
      <w:r w:rsidR="00191D37" w:rsidRPr="007F1729">
        <w:rPr>
          <w:rFonts w:hint="eastAsia"/>
          <w:sz w:val="24"/>
          <w:szCs w:val="24"/>
        </w:rPr>
        <w:t>20</w:t>
      </w:r>
      <w:r w:rsidR="0048182F">
        <w:rPr>
          <w:rFonts w:hint="eastAsia"/>
          <w:sz w:val="24"/>
          <w:szCs w:val="24"/>
        </w:rPr>
        <w:t>20</w:t>
      </w:r>
      <w:r w:rsidR="00191D37" w:rsidRPr="007F1729">
        <w:rPr>
          <w:rFonts w:hint="eastAsia"/>
          <w:sz w:val="24"/>
          <w:szCs w:val="24"/>
        </w:rPr>
        <w:t>年</w:t>
      </w:r>
      <w:r w:rsidR="0048182F">
        <w:rPr>
          <w:rFonts w:hint="eastAsia"/>
          <w:sz w:val="24"/>
          <w:szCs w:val="24"/>
        </w:rPr>
        <w:t>11</w:t>
      </w:r>
      <w:r w:rsidR="00191D37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形成</w:t>
      </w:r>
      <w:r>
        <w:rPr>
          <w:rFonts w:hint="eastAsia"/>
          <w:sz w:val="24"/>
          <w:szCs w:val="24"/>
        </w:rPr>
        <w:t>征求</w:t>
      </w:r>
      <w:r w:rsidR="000134B1" w:rsidRPr="007F1729">
        <w:rPr>
          <w:rFonts w:hint="eastAsia"/>
          <w:sz w:val="24"/>
          <w:szCs w:val="24"/>
        </w:rPr>
        <w:t>意见稿。</w:t>
      </w:r>
    </w:p>
    <w:p w:rsidR="000134B1" w:rsidRPr="00446EAE" w:rsidRDefault="000134B1" w:rsidP="00191D37">
      <w:pPr>
        <w:spacing w:line="360" w:lineRule="auto"/>
        <w:ind w:leftChars="55" w:left="115" w:firstLineChars="200" w:firstLine="482"/>
        <w:rPr>
          <w:rFonts w:ascii="Arial" w:hAnsi="Arial" w:cs="Arial"/>
          <w:b/>
          <w:color w:val="000000"/>
          <w:sz w:val="24"/>
          <w:szCs w:val="24"/>
        </w:rPr>
      </w:pP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三、</w:t>
      </w:r>
      <w:r w:rsidR="00BE16B6" w:rsidRPr="00446EAE">
        <w:rPr>
          <w:rFonts w:ascii="Arial" w:hAnsi="Arial" w:cs="Arial"/>
          <w:b/>
          <w:color w:val="000000"/>
          <w:sz w:val="24"/>
          <w:szCs w:val="24"/>
        </w:rPr>
        <w:t>主要内容讨论结果</w:t>
      </w: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：</w:t>
      </w:r>
    </w:p>
    <w:p w:rsidR="0048182F" w:rsidRDefault="0099422E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48182F">
        <w:rPr>
          <w:rFonts w:hint="eastAsia"/>
          <w:sz w:val="24"/>
          <w:szCs w:val="24"/>
        </w:rPr>
        <w:t>在确保</w:t>
      </w:r>
      <w:r w:rsidR="000A5E39">
        <w:rPr>
          <w:rFonts w:hint="eastAsia"/>
          <w:sz w:val="24"/>
          <w:szCs w:val="24"/>
        </w:rPr>
        <w:t>细胞</w:t>
      </w:r>
      <w:r w:rsidR="0048182F">
        <w:rPr>
          <w:rFonts w:hint="eastAsia"/>
          <w:sz w:val="24"/>
          <w:szCs w:val="24"/>
        </w:rPr>
        <w:t>病理检查质量的前提下制定了关键岗位人员资质的要求。</w:t>
      </w:r>
    </w:p>
    <w:p w:rsidR="007F1729" w:rsidRDefault="007F1729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 w:rsidRPr="007F1729">
        <w:rPr>
          <w:rFonts w:hint="eastAsia"/>
          <w:sz w:val="24"/>
          <w:szCs w:val="24"/>
        </w:rPr>
        <w:t>2</w:t>
      </w:r>
      <w:r w:rsidR="0036102F">
        <w:rPr>
          <w:rFonts w:hint="eastAsia"/>
          <w:sz w:val="24"/>
          <w:szCs w:val="24"/>
        </w:rPr>
        <w:t>、</w:t>
      </w:r>
      <w:r w:rsidR="000A5E39">
        <w:rPr>
          <w:rFonts w:ascii="Arial" w:hAnsi="Arial" w:cs="Arial" w:hint="eastAsia"/>
          <w:color w:val="000000"/>
          <w:sz w:val="24"/>
          <w:szCs w:val="24"/>
        </w:rPr>
        <w:t>细胞</w:t>
      </w:r>
      <w:r w:rsidR="002E4D01">
        <w:rPr>
          <w:rFonts w:ascii="Arial" w:hAnsi="Arial" w:cs="Arial" w:hint="eastAsia"/>
          <w:color w:val="000000"/>
          <w:sz w:val="24"/>
          <w:szCs w:val="24"/>
        </w:rPr>
        <w:t>病理实验室涉及的关键技术（</w:t>
      </w:r>
      <w:proofErr w:type="gramStart"/>
      <w:r w:rsidR="000A5E39" w:rsidRPr="00B26C81">
        <w:rPr>
          <w:rFonts w:ascii="Times New Roman" w:hint="eastAsia"/>
          <w:sz w:val="24"/>
          <w:szCs w:val="24"/>
        </w:rPr>
        <w:t>液基薄层</w:t>
      </w:r>
      <w:proofErr w:type="gramEnd"/>
      <w:r w:rsidR="000A5E39" w:rsidRPr="00B26C81">
        <w:rPr>
          <w:rFonts w:ascii="Times New Roman" w:hint="eastAsia"/>
          <w:sz w:val="24"/>
          <w:szCs w:val="24"/>
        </w:rPr>
        <w:t>细胞学制片技术</w:t>
      </w:r>
      <w:r w:rsidR="000A5E39">
        <w:rPr>
          <w:rFonts w:ascii="Times New Roman" w:hint="eastAsia"/>
          <w:sz w:val="24"/>
          <w:szCs w:val="24"/>
        </w:rPr>
        <w:t>、</w:t>
      </w:r>
      <w:r w:rsidR="000A5E39" w:rsidRPr="00B26C81">
        <w:rPr>
          <w:rFonts w:ascii="Times New Roman" w:hint="eastAsia"/>
          <w:sz w:val="24"/>
          <w:szCs w:val="24"/>
        </w:rPr>
        <w:t>巴氏染色法</w:t>
      </w:r>
      <w:r w:rsidR="000A5E39">
        <w:rPr>
          <w:rFonts w:ascii="Times New Roman" w:hint="eastAsia"/>
          <w:sz w:val="24"/>
          <w:szCs w:val="24"/>
        </w:rPr>
        <w:t>、</w:t>
      </w:r>
      <w:r w:rsidR="000A5E39" w:rsidRPr="00B26C81">
        <w:rPr>
          <w:rFonts w:ascii="Times New Roman" w:hint="eastAsia"/>
          <w:sz w:val="24"/>
          <w:szCs w:val="24"/>
        </w:rPr>
        <w:t>免疫细胞化学检查</w:t>
      </w:r>
      <w:r w:rsidR="002E4D01">
        <w:rPr>
          <w:rFonts w:ascii="Arial" w:hAnsi="Arial" w:cs="Arial" w:hint="eastAsia"/>
          <w:color w:val="000000"/>
          <w:sz w:val="24"/>
          <w:szCs w:val="24"/>
        </w:rPr>
        <w:t>）的检验程序的验证</w:t>
      </w:r>
      <w:r w:rsidRPr="007F1729">
        <w:rPr>
          <w:rFonts w:hint="eastAsia"/>
          <w:sz w:val="24"/>
          <w:szCs w:val="24"/>
        </w:rPr>
        <w:t>。</w:t>
      </w:r>
    </w:p>
    <w:p w:rsidR="002E4D01" w:rsidRDefault="002E4D01" w:rsidP="00191D37">
      <w:pPr>
        <w:spacing w:line="360" w:lineRule="auto"/>
        <w:ind w:leftChars="55" w:left="115" w:firstLineChars="200" w:firstLine="480"/>
        <w:rPr>
          <w:rFonts w:hAnsi="宋体"/>
          <w:color w:val="000000" w:themeColor="text1"/>
          <w:sz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732DBE">
        <w:rPr>
          <w:rFonts w:hint="eastAsia"/>
          <w:color w:val="000000" w:themeColor="text1"/>
          <w:sz w:val="24"/>
        </w:rPr>
        <w:t>应通过检查前、中、</w:t>
      </w:r>
      <w:proofErr w:type="gramStart"/>
      <w:r w:rsidRPr="00732DBE">
        <w:rPr>
          <w:rFonts w:hint="eastAsia"/>
          <w:color w:val="000000" w:themeColor="text1"/>
          <w:sz w:val="24"/>
        </w:rPr>
        <w:t>后过程</w:t>
      </w:r>
      <w:proofErr w:type="gramEnd"/>
      <w:r w:rsidRPr="00732DBE">
        <w:rPr>
          <w:rFonts w:hint="eastAsia"/>
          <w:color w:val="000000" w:themeColor="text1"/>
          <w:sz w:val="24"/>
        </w:rPr>
        <w:t>质量指标的监控确保和改进病理检查的质量</w:t>
      </w:r>
      <w:r w:rsidRPr="00732DBE">
        <w:rPr>
          <w:rFonts w:hAnsi="宋体" w:hint="eastAsia"/>
          <w:color w:val="000000" w:themeColor="text1"/>
          <w:sz w:val="24"/>
        </w:rPr>
        <w:t>。</w:t>
      </w:r>
      <w:r>
        <w:rPr>
          <w:rFonts w:hAnsi="宋体" w:hint="eastAsia"/>
          <w:color w:val="000000" w:themeColor="text1"/>
          <w:sz w:val="24"/>
        </w:rPr>
        <w:t>列出了关键质量指标及限</w:t>
      </w:r>
      <w:r w:rsidR="006847CE">
        <w:rPr>
          <w:rFonts w:hAnsi="宋体" w:hint="eastAsia"/>
          <w:color w:val="000000" w:themeColor="text1"/>
          <w:sz w:val="24"/>
        </w:rPr>
        <w:t>值</w:t>
      </w:r>
      <w:bookmarkStart w:id="0" w:name="_GoBack"/>
      <w:bookmarkEnd w:id="0"/>
      <w:r>
        <w:rPr>
          <w:rFonts w:hAnsi="宋体" w:hint="eastAsia"/>
          <w:color w:val="000000" w:themeColor="text1"/>
          <w:sz w:val="24"/>
        </w:rPr>
        <w:t>。</w:t>
      </w:r>
    </w:p>
    <w:p w:rsidR="002E4D01" w:rsidRPr="007F1729" w:rsidRDefault="002E4D01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0A5E39">
        <w:rPr>
          <w:rFonts w:hint="eastAsia"/>
          <w:sz w:val="24"/>
          <w:szCs w:val="24"/>
        </w:rPr>
        <w:t>细胞</w:t>
      </w:r>
      <w:r>
        <w:rPr>
          <w:rFonts w:hint="eastAsia"/>
          <w:sz w:val="24"/>
          <w:szCs w:val="24"/>
        </w:rPr>
        <w:t>病理质量控制的手段，包括：</w:t>
      </w:r>
      <w:proofErr w:type="gramStart"/>
      <w:r w:rsidR="000A5E39">
        <w:rPr>
          <w:rFonts w:ascii="Times New Roman" w:hint="eastAsia"/>
          <w:color w:val="000000"/>
          <w:sz w:val="24"/>
          <w:szCs w:val="24"/>
        </w:rPr>
        <w:t>阳性非</w:t>
      </w:r>
      <w:proofErr w:type="gramEnd"/>
      <w:r w:rsidR="000A5E39">
        <w:rPr>
          <w:rFonts w:ascii="Times New Roman" w:hint="eastAsia"/>
          <w:color w:val="000000"/>
          <w:sz w:val="24"/>
          <w:szCs w:val="24"/>
        </w:rPr>
        <w:t>妇科细胞学及</w:t>
      </w:r>
      <w:r w:rsidR="000A5E39">
        <w:rPr>
          <w:rFonts w:ascii="Times New Roman" w:hint="eastAsia"/>
          <w:color w:val="000000"/>
          <w:sz w:val="24"/>
          <w:szCs w:val="24"/>
        </w:rPr>
        <w:t>HSIL</w:t>
      </w:r>
      <w:r w:rsidR="000A5E39">
        <w:rPr>
          <w:rFonts w:ascii="Times New Roman" w:hint="eastAsia"/>
          <w:color w:val="000000"/>
          <w:sz w:val="24"/>
          <w:szCs w:val="24"/>
        </w:rPr>
        <w:t>妇科细胞学的</w:t>
      </w:r>
      <w:r w:rsidR="000A5E39" w:rsidRPr="00B26C81">
        <w:rPr>
          <w:rFonts w:ascii="Times New Roman" w:hint="eastAsia"/>
          <w:color w:val="000000"/>
          <w:sz w:val="24"/>
          <w:szCs w:val="24"/>
        </w:rPr>
        <w:t>细胞和组织学病理检查结果对照的统计制度</w:t>
      </w:r>
      <w:r w:rsidR="000A5E39">
        <w:rPr>
          <w:rFonts w:ascii="Times New Roman" w:hint="eastAsia"/>
          <w:color w:val="000000"/>
          <w:sz w:val="24"/>
          <w:szCs w:val="24"/>
        </w:rPr>
        <w:t>、</w:t>
      </w:r>
      <w:r w:rsidR="000A5E39" w:rsidRPr="00B26C81">
        <w:rPr>
          <w:rFonts w:ascii="Times New Roman" w:hint="eastAsia"/>
          <w:color w:val="000000"/>
          <w:sz w:val="24"/>
          <w:szCs w:val="24"/>
        </w:rPr>
        <w:t>妇科细胞学结果统计制度</w:t>
      </w:r>
      <w:r w:rsidR="000A5E39">
        <w:rPr>
          <w:rFonts w:ascii="Times New Roman" w:hint="eastAsia"/>
          <w:color w:val="000000"/>
          <w:sz w:val="24"/>
          <w:szCs w:val="24"/>
        </w:rPr>
        <w:t>、</w:t>
      </w:r>
      <w:r w:rsidR="000A5E39" w:rsidRPr="00B26C81">
        <w:rPr>
          <w:rFonts w:ascii="Times New Roman" w:hint="eastAsia"/>
          <w:color w:val="000000"/>
          <w:sz w:val="24"/>
          <w:szCs w:val="24"/>
        </w:rPr>
        <w:t>阳性病例二级医师复查制度</w:t>
      </w:r>
      <w:r w:rsidR="000A5E39">
        <w:rPr>
          <w:rFonts w:ascii="Times New Roman" w:hint="eastAsia"/>
          <w:color w:val="000000"/>
          <w:sz w:val="24"/>
          <w:szCs w:val="24"/>
        </w:rPr>
        <w:t>、</w:t>
      </w:r>
      <w:r w:rsidR="000A5E39" w:rsidRPr="00B26C81">
        <w:rPr>
          <w:rFonts w:hint="eastAsia"/>
          <w:sz w:val="24"/>
        </w:rPr>
        <w:t>内部同行复阅</w:t>
      </w:r>
      <w:r w:rsidR="000A5E39">
        <w:rPr>
          <w:rFonts w:hint="eastAsia"/>
          <w:sz w:val="24"/>
        </w:rPr>
        <w:t>、</w:t>
      </w:r>
      <w:r w:rsidR="000A5E39" w:rsidRPr="00B26C81">
        <w:rPr>
          <w:rFonts w:ascii="Times New Roman" w:hint="eastAsia"/>
          <w:sz w:val="24"/>
          <w:szCs w:val="24"/>
        </w:rPr>
        <w:t>细胞病理学复核制度和疑难病例讨论制度</w:t>
      </w:r>
      <w:r w:rsidR="007635B2">
        <w:rPr>
          <w:rFonts w:ascii="Times New Roman" w:hAnsi="宋体" w:cs="宋体" w:hint="eastAsia"/>
          <w:color w:val="000000" w:themeColor="text1"/>
          <w:sz w:val="24"/>
          <w:szCs w:val="24"/>
        </w:rPr>
        <w:t>等。</w:t>
      </w:r>
    </w:p>
    <w:p w:rsidR="00D15CCE" w:rsidRPr="00446EAE" w:rsidRDefault="007F1729" w:rsidP="00191D37">
      <w:pPr>
        <w:spacing w:line="360" w:lineRule="auto"/>
        <w:ind w:firstLineChars="200" w:firstLine="482"/>
        <w:rPr>
          <w:b/>
          <w:bCs/>
          <w:kern w:val="0"/>
          <w:sz w:val="24"/>
          <w:szCs w:val="24"/>
        </w:rPr>
      </w:pP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四、</w:t>
      </w:r>
      <w:r w:rsidR="00BE16B6" w:rsidRPr="00446EAE">
        <w:rPr>
          <w:rFonts w:ascii="Arial" w:hAnsi="Arial" w:cs="Arial"/>
          <w:b/>
          <w:color w:val="000000"/>
          <w:sz w:val="24"/>
          <w:szCs w:val="24"/>
        </w:rPr>
        <w:t>文件实施的相关建议</w:t>
      </w:r>
    </w:p>
    <w:p w:rsidR="00F423CB" w:rsidRPr="00D46757" w:rsidRDefault="007635B2" w:rsidP="007635B2">
      <w:pPr>
        <w:spacing w:line="360" w:lineRule="auto"/>
        <w:ind w:firstLineChars="200" w:firstLine="480"/>
        <w:rPr>
          <w:sz w:val="24"/>
          <w:szCs w:val="24"/>
        </w:rPr>
      </w:pPr>
      <w:r w:rsidRPr="00732DBE">
        <w:rPr>
          <w:rFonts w:hint="eastAsia"/>
          <w:color w:val="000000" w:themeColor="text1"/>
          <w:sz w:val="24"/>
        </w:rPr>
        <w:t>本</w:t>
      </w:r>
      <w:r>
        <w:rPr>
          <w:rFonts w:hint="eastAsia"/>
          <w:color w:val="000000" w:themeColor="text1"/>
          <w:sz w:val="24"/>
        </w:rPr>
        <w:t>指南适用于指导申请认可的</w:t>
      </w:r>
      <w:r w:rsidR="000A5E39">
        <w:rPr>
          <w:rFonts w:hint="eastAsia"/>
          <w:color w:val="000000" w:themeColor="text1"/>
          <w:sz w:val="24"/>
        </w:rPr>
        <w:t>细胞</w:t>
      </w:r>
      <w:r>
        <w:rPr>
          <w:rFonts w:hint="eastAsia"/>
          <w:color w:val="000000" w:themeColor="text1"/>
          <w:sz w:val="24"/>
        </w:rPr>
        <w:t>病理学检查领域实验室</w:t>
      </w:r>
      <w:r w:rsidRPr="008C6A0D">
        <w:rPr>
          <w:rFonts w:hint="eastAsia"/>
          <w:color w:val="000000" w:themeColor="text1"/>
          <w:sz w:val="24"/>
        </w:rPr>
        <w:t>建立管理体系，已获认可的实验室规范其质量和技术活动，也可供认可评审员在评审过程中参考。</w:t>
      </w:r>
    </w:p>
    <w:sectPr w:rsidR="00F423CB" w:rsidRPr="00D46757" w:rsidSect="00F42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73" w:rsidRDefault="00FE0E73" w:rsidP="00AB7ADC">
      <w:r>
        <w:separator/>
      </w:r>
    </w:p>
  </w:endnote>
  <w:endnote w:type="continuationSeparator" w:id="0">
    <w:p w:rsidR="00FE0E73" w:rsidRDefault="00FE0E73" w:rsidP="00A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73" w:rsidRDefault="00FE0E73" w:rsidP="00AB7ADC">
      <w:r>
        <w:separator/>
      </w:r>
    </w:p>
  </w:footnote>
  <w:footnote w:type="continuationSeparator" w:id="0">
    <w:p w:rsidR="00FE0E73" w:rsidRDefault="00FE0E73" w:rsidP="00AB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57F"/>
    <w:multiLevelType w:val="hybridMultilevel"/>
    <w:tmpl w:val="C0F870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1AC620A"/>
    <w:multiLevelType w:val="hybridMultilevel"/>
    <w:tmpl w:val="F5986AFC"/>
    <w:lvl w:ilvl="0" w:tplc="B8F86FD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E7207C"/>
    <w:multiLevelType w:val="hybridMultilevel"/>
    <w:tmpl w:val="39CEFA26"/>
    <w:lvl w:ilvl="0" w:tplc="2FCE4C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3C46A8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84E421B"/>
    <w:multiLevelType w:val="hybridMultilevel"/>
    <w:tmpl w:val="9B98AB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D40FCD"/>
    <w:multiLevelType w:val="hybridMultilevel"/>
    <w:tmpl w:val="B17451C2"/>
    <w:lvl w:ilvl="0" w:tplc="9CB65E14">
      <w:start w:val="1"/>
      <w:numFmt w:val="japaneseCounting"/>
      <w:lvlText w:val="%1、"/>
      <w:lvlJc w:val="left"/>
      <w:pPr>
        <w:tabs>
          <w:tab w:val="num" w:pos="1075"/>
        </w:tabs>
        <w:ind w:left="1075" w:hanging="480"/>
      </w:pPr>
      <w:rPr>
        <w:rFonts w:ascii="宋体" w:hAnsi="宋体" w:cs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5"/>
        </w:tabs>
        <w:ind w:left="14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5"/>
        </w:tabs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5"/>
        </w:tabs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9"/>
    <w:rsid w:val="000134B1"/>
    <w:rsid w:val="00055A1B"/>
    <w:rsid w:val="000A5E39"/>
    <w:rsid w:val="000D10A6"/>
    <w:rsid w:val="00191D37"/>
    <w:rsid w:val="001B799A"/>
    <w:rsid w:val="001C7438"/>
    <w:rsid w:val="00201A20"/>
    <w:rsid w:val="00265130"/>
    <w:rsid w:val="002E4D01"/>
    <w:rsid w:val="002E502A"/>
    <w:rsid w:val="00306414"/>
    <w:rsid w:val="00307716"/>
    <w:rsid w:val="0036102F"/>
    <w:rsid w:val="003A03C5"/>
    <w:rsid w:val="00406941"/>
    <w:rsid w:val="00446EAE"/>
    <w:rsid w:val="0048182F"/>
    <w:rsid w:val="0048595E"/>
    <w:rsid w:val="004B3E93"/>
    <w:rsid w:val="004C0771"/>
    <w:rsid w:val="004D167D"/>
    <w:rsid w:val="004F1620"/>
    <w:rsid w:val="005A024B"/>
    <w:rsid w:val="005A2928"/>
    <w:rsid w:val="00634CCA"/>
    <w:rsid w:val="00652FC0"/>
    <w:rsid w:val="006847CE"/>
    <w:rsid w:val="006B0AC6"/>
    <w:rsid w:val="006E4CCD"/>
    <w:rsid w:val="007635B2"/>
    <w:rsid w:val="007C70FC"/>
    <w:rsid w:val="007E4300"/>
    <w:rsid w:val="007F1729"/>
    <w:rsid w:val="008049E7"/>
    <w:rsid w:val="008108B5"/>
    <w:rsid w:val="00886B44"/>
    <w:rsid w:val="009221EC"/>
    <w:rsid w:val="00974279"/>
    <w:rsid w:val="0099422E"/>
    <w:rsid w:val="009A0236"/>
    <w:rsid w:val="009C723D"/>
    <w:rsid w:val="009E26AC"/>
    <w:rsid w:val="00A7141F"/>
    <w:rsid w:val="00AB7ADC"/>
    <w:rsid w:val="00B007D3"/>
    <w:rsid w:val="00B86521"/>
    <w:rsid w:val="00B9265A"/>
    <w:rsid w:val="00B95C11"/>
    <w:rsid w:val="00BC07A9"/>
    <w:rsid w:val="00BC1D00"/>
    <w:rsid w:val="00BD130A"/>
    <w:rsid w:val="00BE16B6"/>
    <w:rsid w:val="00C062E7"/>
    <w:rsid w:val="00CB07C1"/>
    <w:rsid w:val="00D15CCE"/>
    <w:rsid w:val="00D203C3"/>
    <w:rsid w:val="00D46757"/>
    <w:rsid w:val="00D92BD1"/>
    <w:rsid w:val="00DC323D"/>
    <w:rsid w:val="00DC44E9"/>
    <w:rsid w:val="00DE2308"/>
    <w:rsid w:val="00E27966"/>
    <w:rsid w:val="00E97707"/>
    <w:rsid w:val="00EC1731"/>
    <w:rsid w:val="00EE054D"/>
    <w:rsid w:val="00EE73A6"/>
    <w:rsid w:val="00F423CB"/>
    <w:rsid w:val="00FE0E73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B7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B7ADC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BC07A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5"/>
    <w:uiPriority w:val="99"/>
    <w:semiHidden/>
    <w:rsid w:val="00BC07A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C07A9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C07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7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B7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B7ADC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BC07A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5"/>
    <w:uiPriority w:val="99"/>
    <w:semiHidden/>
    <w:rsid w:val="00BC07A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C07A9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C07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7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医学实验室工作人员防护</dc:title>
  <dc:creator>marong</dc:creator>
  <cp:lastModifiedBy>周亚莉</cp:lastModifiedBy>
  <cp:revision>4</cp:revision>
  <dcterms:created xsi:type="dcterms:W3CDTF">2020-11-20T08:55:00Z</dcterms:created>
  <dcterms:modified xsi:type="dcterms:W3CDTF">2020-11-20T09:09:00Z</dcterms:modified>
</cp:coreProperties>
</file>