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5B06E" w14:textId="24D0195D" w:rsidR="00561325" w:rsidRPr="00F45F3C" w:rsidRDefault="00F45F3C" w:rsidP="00084AD8">
      <w:pPr>
        <w:spacing w:beforeLines="100" w:before="312" w:afterLines="150" w:after="468" w:line="360" w:lineRule="auto"/>
        <w:jc w:val="center"/>
        <w:rPr>
          <w:rFonts w:ascii="宋体" w:hAnsi="宋体"/>
          <w:b/>
          <w:sz w:val="28"/>
          <w:szCs w:val="28"/>
        </w:rPr>
      </w:pPr>
      <w:r>
        <w:rPr>
          <w:rFonts w:ascii="宋体" w:hAnsi="宋体" w:hint="eastAsia"/>
          <w:b/>
          <w:sz w:val="28"/>
          <w:szCs w:val="28"/>
        </w:rPr>
        <w:t>CNAS-</w:t>
      </w:r>
      <w:r w:rsidR="00C03033" w:rsidRPr="00F45F3C">
        <w:rPr>
          <w:rFonts w:ascii="宋体" w:hAnsi="宋体" w:hint="eastAsia"/>
          <w:b/>
          <w:sz w:val="28"/>
          <w:szCs w:val="28"/>
        </w:rPr>
        <w:t>SC2</w:t>
      </w:r>
      <w:r w:rsidR="002219DE">
        <w:rPr>
          <w:rFonts w:ascii="宋体" w:hAnsi="宋体"/>
          <w:b/>
          <w:sz w:val="28"/>
          <w:szCs w:val="28"/>
        </w:rPr>
        <w:t>6</w:t>
      </w:r>
      <w:r w:rsidR="00CF7A07" w:rsidRPr="00F45F3C">
        <w:rPr>
          <w:rFonts w:ascii="宋体" w:hAnsi="宋体" w:hint="eastAsia"/>
          <w:b/>
          <w:sz w:val="28"/>
          <w:szCs w:val="28"/>
        </w:rPr>
        <w:t>：</w:t>
      </w:r>
      <w:r>
        <w:rPr>
          <w:rFonts w:ascii="宋体" w:hAnsi="宋体" w:hint="eastAsia"/>
          <w:b/>
          <w:sz w:val="28"/>
          <w:szCs w:val="28"/>
        </w:rPr>
        <w:t>20</w:t>
      </w:r>
      <w:r w:rsidR="000B30E5">
        <w:rPr>
          <w:rFonts w:ascii="宋体" w:hAnsi="宋体" w:hint="eastAsia"/>
          <w:b/>
          <w:sz w:val="28"/>
          <w:szCs w:val="28"/>
        </w:rPr>
        <w:t>XX</w:t>
      </w:r>
      <w:r w:rsidR="00C03033" w:rsidRPr="00F45F3C">
        <w:rPr>
          <w:rFonts w:ascii="宋体" w:hAnsi="宋体" w:hint="eastAsia"/>
          <w:b/>
          <w:sz w:val="28"/>
          <w:szCs w:val="28"/>
        </w:rPr>
        <w:t>《</w:t>
      </w:r>
      <w:r w:rsidR="002219DE" w:rsidRPr="002219DE">
        <w:rPr>
          <w:rFonts w:ascii="宋体" w:hAnsi="宋体"/>
          <w:b/>
          <w:sz w:val="28"/>
          <w:szCs w:val="28"/>
        </w:rPr>
        <w:t>EPA复合木制品认证机构认可方案</w:t>
      </w:r>
      <w:r w:rsidR="00C03033" w:rsidRPr="00F45F3C">
        <w:rPr>
          <w:rFonts w:ascii="宋体" w:hAnsi="宋体" w:hint="eastAsia"/>
          <w:b/>
          <w:sz w:val="28"/>
          <w:szCs w:val="28"/>
        </w:rPr>
        <w:t>》修订说明</w:t>
      </w:r>
    </w:p>
    <w:p w14:paraId="2B6E6CB0" w14:textId="0CD23D1D" w:rsidR="00F45F3C" w:rsidRPr="00F45F3C" w:rsidRDefault="002219DE" w:rsidP="00F45F3C">
      <w:pPr>
        <w:spacing w:line="360" w:lineRule="auto"/>
        <w:ind w:firstLineChars="200" w:firstLine="560"/>
        <w:rPr>
          <w:rFonts w:ascii="宋体" w:hAnsi="宋体"/>
          <w:sz w:val="28"/>
          <w:szCs w:val="28"/>
        </w:rPr>
      </w:pPr>
      <w:r>
        <w:rPr>
          <w:rFonts w:hint="eastAsia"/>
          <w:sz w:val="28"/>
          <w:szCs w:val="28"/>
        </w:rPr>
        <w:t>美国环境保护署（</w:t>
      </w:r>
      <w:r>
        <w:rPr>
          <w:rFonts w:hint="eastAsia"/>
          <w:sz w:val="28"/>
          <w:szCs w:val="28"/>
        </w:rPr>
        <w:t>EPA</w:t>
      </w:r>
      <w:r>
        <w:rPr>
          <w:rFonts w:hint="eastAsia"/>
          <w:sz w:val="28"/>
          <w:szCs w:val="28"/>
        </w:rPr>
        <w:t>）修订了《复合木制品甲醛释放限量标准法案》。为确保</w:t>
      </w:r>
      <w:r w:rsidR="004C005C" w:rsidRPr="00F45F3C">
        <w:rPr>
          <w:rFonts w:asciiTheme="majorEastAsia" w:eastAsiaTheme="majorEastAsia" w:hAnsiTheme="majorEastAsia" w:hint="eastAsia"/>
          <w:color w:val="000000" w:themeColor="text1"/>
          <w:sz w:val="28"/>
          <w:szCs w:val="28"/>
        </w:rPr>
        <w:t>中国合格评定国家认可委员会</w:t>
      </w:r>
      <w:r w:rsidR="004C005C">
        <w:rPr>
          <w:rFonts w:asciiTheme="majorEastAsia" w:eastAsiaTheme="majorEastAsia" w:hAnsiTheme="majorEastAsia" w:hint="eastAsia"/>
          <w:color w:val="000000" w:themeColor="text1"/>
          <w:sz w:val="28"/>
          <w:szCs w:val="28"/>
        </w:rPr>
        <w:t>（CNAS）</w:t>
      </w:r>
      <w:r>
        <w:rPr>
          <w:rFonts w:hint="eastAsia"/>
          <w:sz w:val="28"/>
          <w:szCs w:val="28"/>
        </w:rPr>
        <w:t>建立的复合木制品认证认可制度持续满足</w:t>
      </w:r>
      <w:r>
        <w:rPr>
          <w:rFonts w:hint="eastAsia"/>
          <w:sz w:val="28"/>
          <w:szCs w:val="28"/>
        </w:rPr>
        <w:t>EPA</w:t>
      </w:r>
      <w:r>
        <w:rPr>
          <w:rFonts w:hint="eastAsia"/>
          <w:sz w:val="28"/>
          <w:szCs w:val="28"/>
        </w:rPr>
        <w:t>的要求，以便更好地服务国内复合木制品出口，</w:t>
      </w:r>
      <w:r w:rsidR="004C005C">
        <w:rPr>
          <w:rFonts w:asciiTheme="majorEastAsia" w:eastAsiaTheme="majorEastAsia" w:hAnsiTheme="majorEastAsia" w:hint="eastAsia"/>
          <w:color w:val="000000" w:themeColor="text1"/>
          <w:sz w:val="28"/>
          <w:szCs w:val="28"/>
        </w:rPr>
        <w:t>CNAS</w:t>
      </w:r>
      <w:r w:rsidR="00F45F3C" w:rsidRPr="00F45F3C">
        <w:rPr>
          <w:rFonts w:asciiTheme="majorEastAsia" w:eastAsiaTheme="majorEastAsia" w:hAnsiTheme="majorEastAsia" w:hint="eastAsia"/>
          <w:sz w:val="28"/>
          <w:szCs w:val="28"/>
        </w:rPr>
        <w:t>对CNAS-SC</w:t>
      </w:r>
      <w:r>
        <w:rPr>
          <w:rFonts w:asciiTheme="majorEastAsia" w:eastAsiaTheme="majorEastAsia" w:hAnsiTheme="majorEastAsia"/>
          <w:sz w:val="28"/>
          <w:szCs w:val="28"/>
        </w:rPr>
        <w:t>26</w:t>
      </w:r>
      <w:r>
        <w:rPr>
          <w:rFonts w:asciiTheme="majorEastAsia" w:eastAsiaTheme="majorEastAsia" w:hAnsiTheme="majorEastAsia" w:hint="eastAsia"/>
          <w:sz w:val="28"/>
          <w:szCs w:val="28"/>
        </w:rPr>
        <w:t>：2</w:t>
      </w:r>
      <w:r>
        <w:rPr>
          <w:rFonts w:asciiTheme="majorEastAsia" w:eastAsiaTheme="majorEastAsia" w:hAnsiTheme="majorEastAsia"/>
          <w:sz w:val="28"/>
          <w:szCs w:val="28"/>
        </w:rPr>
        <w:t>017</w:t>
      </w:r>
      <w:r w:rsidR="00F45F3C" w:rsidRPr="00F45F3C">
        <w:rPr>
          <w:rFonts w:asciiTheme="majorEastAsia" w:eastAsiaTheme="majorEastAsia" w:hAnsiTheme="majorEastAsia" w:hint="eastAsia"/>
          <w:sz w:val="28"/>
          <w:szCs w:val="28"/>
        </w:rPr>
        <w:t>《</w:t>
      </w:r>
      <w:r w:rsidRPr="002219DE">
        <w:rPr>
          <w:rFonts w:asciiTheme="majorEastAsia" w:eastAsiaTheme="majorEastAsia" w:hAnsiTheme="majorEastAsia"/>
          <w:sz w:val="28"/>
          <w:szCs w:val="28"/>
        </w:rPr>
        <w:t>EPA复合木制品认证机构认可方案</w:t>
      </w:r>
      <w:r w:rsidR="00F45F3C" w:rsidRPr="00F45F3C">
        <w:rPr>
          <w:rFonts w:asciiTheme="majorEastAsia" w:eastAsiaTheme="majorEastAsia" w:hAnsiTheme="majorEastAsia" w:hint="eastAsia"/>
          <w:sz w:val="28"/>
          <w:szCs w:val="28"/>
        </w:rPr>
        <w:t>》</w:t>
      </w:r>
      <w:r w:rsidR="000B30E5">
        <w:rPr>
          <w:rFonts w:asciiTheme="majorEastAsia" w:eastAsiaTheme="majorEastAsia" w:hAnsiTheme="majorEastAsia" w:hint="eastAsia"/>
          <w:sz w:val="28"/>
          <w:szCs w:val="28"/>
        </w:rPr>
        <w:t>中</w:t>
      </w:r>
      <w:r w:rsidR="000B30E5" w:rsidRPr="004C005C">
        <w:rPr>
          <w:sz w:val="28"/>
          <w:szCs w:val="28"/>
        </w:rPr>
        <w:t xml:space="preserve"> </w:t>
      </w:r>
      <w:r w:rsidR="000B30E5">
        <w:rPr>
          <w:sz w:val="28"/>
          <w:szCs w:val="28"/>
        </w:rPr>
        <w:t>C2.5 3)</w:t>
      </w:r>
      <w:r w:rsidR="000B30E5">
        <w:rPr>
          <w:rFonts w:hint="eastAsia"/>
          <w:sz w:val="28"/>
          <w:szCs w:val="28"/>
        </w:rPr>
        <w:t>的</w:t>
      </w:r>
      <w:r w:rsidR="000B30E5">
        <w:rPr>
          <w:rFonts w:asciiTheme="majorEastAsia" w:eastAsiaTheme="majorEastAsia" w:hAnsiTheme="majorEastAsia" w:hint="eastAsia"/>
          <w:sz w:val="28"/>
          <w:szCs w:val="28"/>
        </w:rPr>
        <w:t>3处</w:t>
      </w:r>
      <w:r>
        <w:rPr>
          <w:rFonts w:hint="eastAsia"/>
          <w:sz w:val="28"/>
          <w:szCs w:val="28"/>
        </w:rPr>
        <w:t>进行修订</w:t>
      </w:r>
      <w:r w:rsidR="000B30E5">
        <w:rPr>
          <w:rFonts w:hint="eastAsia"/>
          <w:sz w:val="28"/>
          <w:szCs w:val="28"/>
        </w:rPr>
        <w:t>，形成</w:t>
      </w:r>
      <w:r w:rsidR="000B30E5" w:rsidRPr="00F45F3C">
        <w:rPr>
          <w:rFonts w:asciiTheme="majorEastAsia" w:eastAsiaTheme="majorEastAsia" w:hAnsiTheme="majorEastAsia" w:hint="eastAsia"/>
          <w:sz w:val="28"/>
          <w:szCs w:val="28"/>
        </w:rPr>
        <w:t>CNAS-SC</w:t>
      </w:r>
      <w:r w:rsidR="000B30E5">
        <w:rPr>
          <w:rFonts w:asciiTheme="majorEastAsia" w:eastAsiaTheme="majorEastAsia" w:hAnsiTheme="majorEastAsia"/>
          <w:sz w:val="28"/>
          <w:szCs w:val="28"/>
        </w:rPr>
        <w:t>26</w:t>
      </w:r>
      <w:r w:rsidR="000B30E5">
        <w:rPr>
          <w:rFonts w:asciiTheme="majorEastAsia" w:eastAsiaTheme="majorEastAsia" w:hAnsiTheme="majorEastAsia" w:hint="eastAsia"/>
          <w:sz w:val="28"/>
          <w:szCs w:val="28"/>
        </w:rPr>
        <w:t>：2</w:t>
      </w:r>
      <w:r w:rsidR="000B30E5">
        <w:rPr>
          <w:rFonts w:asciiTheme="majorEastAsia" w:eastAsiaTheme="majorEastAsia" w:hAnsiTheme="majorEastAsia"/>
          <w:sz w:val="28"/>
          <w:szCs w:val="28"/>
        </w:rPr>
        <w:t>0</w:t>
      </w:r>
      <w:r w:rsidR="000B30E5">
        <w:rPr>
          <w:rFonts w:asciiTheme="majorEastAsia" w:eastAsiaTheme="majorEastAsia" w:hAnsiTheme="majorEastAsia" w:hint="eastAsia"/>
          <w:sz w:val="28"/>
          <w:szCs w:val="28"/>
        </w:rPr>
        <w:t>XX</w:t>
      </w:r>
      <w:r w:rsidR="000B30E5" w:rsidRPr="00F45F3C">
        <w:rPr>
          <w:rFonts w:asciiTheme="majorEastAsia" w:eastAsiaTheme="majorEastAsia" w:hAnsiTheme="majorEastAsia" w:hint="eastAsia"/>
          <w:sz w:val="28"/>
          <w:szCs w:val="28"/>
        </w:rPr>
        <w:t>《</w:t>
      </w:r>
      <w:r w:rsidR="000B30E5" w:rsidRPr="002219DE">
        <w:rPr>
          <w:rFonts w:asciiTheme="majorEastAsia" w:eastAsiaTheme="majorEastAsia" w:hAnsiTheme="majorEastAsia"/>
          <w:sz w:val="28"/>
          <w:szCs w:val="28"/>
        </w:rPr>
        <w:t>EPA复合木制品认证机构认可方案</w:t>
      </w:r>
      <w:r w:rsidR="000B30E5" w:rsidRPr="00F45F3C">
        <w:rPr>
          <w:rFonts w:asciiTheme="majorEastAsia" w:eastAsiaTheme="majorEastAsia" w:hAnsiTheme="majorEastAsia" w:hint="eastAsia"/>
          <w:sz w:val="28"/>
          <w:szCs w:val="28"/>
        </w:rPr>
        <w:t>》</w:t>
      </w:r>
      <w:r w:rsidR="004A6AB9">
        <w:rPr>
          <w:rFonts w:hint="eastAsia"/>
          <w:sz w:val="28"/>
          <w:szCs w:val="28"/>
        </w:rPr>
        <w:t>。</w:t>
      </w:r>
      <w:r w:rsidR="000B30E5">
        <w:rPr>
          <w:rFonts w:hint="eastAsia"/>
          <w:sz w:val="28"/>
          <w:szCs w:val="28"/>
        </w:rPr>
        <w:t>修订</w:t>
      </w:r>
      <w:r>
        <w:rPr>
          <w:rFonts w:hint="eastAsia"/>
          <w:sz w:val="28"/>
          <w:szCs w:val="28"/>
        </w:rPr>
        <w:t>情况如下：</w:t>
      </w:r>
    </w:p>
    <w:p w14:paraId="64AEF02C" w14:textId="77777777" w:rsidR="002219DE" w:rsidRPr="002219DE" w:rsidRDefault="002219DE" w:rsidP="002219DE">
      <w:pPr>
        <w:spacing w:line="360" w:lineRule="auto"/>
        <w:rPr>
          <w:b/>
          <w:bCs/>
          <w:sz w:val="28"/>
          <w:szCs w:val="28"/>
        </w:rPr>
      </w:pPr>
      <w:r w:rsidRPr="002219DE">
        <w:rPr>
          <w:rFonts w:hint="eastAsia"/>
          <w:b/>
          <w:bCs/>
          <w:sz w:val="28"/>
          <w:szCs w:val="28"/>
        </w:rPr>
        <w:t>修订前的描述：</w:t>
      </w:r>
    </w:p>
    <w:p w14:paraId="3713C767" w14:textId="2474CCBC" w:rsidR="002219DE" w:rsidRPr="002219DE" w:rsidRDefault="002219DE" w:rsidP="002219DE">
      <w:pPr>
        <w:spacing w:line="360" w:lineRule="auto"/>
        <w:ind w:firstLineChars="200" w:firstLine="560"/>
        <w:rPr>
          <w:sz w:val="28"/>
          <w:szCs w:val="28"/>
        </w:rPr>
      </w:pPr>
      <w:r w:rsidRPr="00A270E5">
        <w:rPr>
          <w:sz w:val="28"/>
          <w:szCs w:val="28"/>
        </w:rPr>
        <w:t xml:space="preserve">C2.5 3) </w:t>
      </w:r>
      <w:r w:rsidRPr="00A270E5">
        <w:rPr>
          <w:rFonts w:hint="eastAsia"/>
          <w:sz w:val="28"/>
          <w:szCs w:val="28"/>
        </w:rPr>
        <w:t>当一个板材生产厂在连续二次以上的质量控制检测中超过了其确立的质量控</w:t>
      </w:r>
      <w:r w:rsidRPr="00A270E5">
        <w:rPr>
          <w:rFonts w:hint="eastAsia"/>
          <w:sz w:val="28"/>
          <w:szCs w:val="28"/>
        </w:rPr>
        <w:t xml:space="preserve"> </w:t>
      </w:r>
      <w:r w:rsidRPr="00A270E5">
        <w:rPr>
          <w:rFonts w:hint="eastAsia"/>
          <w:sz w:val="28"/>
          <w:szCs w:val="28"/>
        </w:rPr>
        <w:t>制限值，认证机构须在知晓第二次超标后</w:t>
      </w:r>
      <w:r w:rsidRPr="00A270E5">
        <w:rPr>
          <w:rFonts w:hint="eastAsia"/>
          <w:sz w:val="28"/>
          <w:szCs w:val="28"/>
        </w:rPr>
        <w:t>72</w:t>
      </w:r>
      <w:r w:rsidRPr="00A270E5">
        <w:rPr>
          <w:rFonts w:hint="eastAsia"/>
          <w:sz w:val="28"/>
          <w:szCs w:val="28"/>
        </w:rPr>
        <w:t>小时内通报。该通报</w:t>
      </w:r>
      <w:proofErr w:type="gramStart"/>
      <w:r w:rsidRPr="00A270E5">
        <w:rPr>
          <w:rFonts w:hint="eastAsia"/>
          <w:sz w:val="28"/>
          <w:szCs w:val="28"/>
        </w:rPr>
        <w:t>须包括</w:t>
      </w:r>
      <w:proofErr w:type="gramEnd"/>
      <w:r w:rsidRPr="00A270E5">
        <w:rPr>
          <w:rFonts w:hint="eastAsia"/>
          <w:sz w:val="28"/>
          <w:szCs w:val="28"/>
        </w:rPr>
        <w:t>产品类型、超过质量控制限值的质量控制检测日期、质量控制检测结果、</w:t>
      </w:r>
      <w:r w:rsidRPr="00A270E5">
        <w:rPr>
          <w:rFonts w:hint="eastAsia"/>
          <w:sz w:val="28"/>
          <w:szCs w:val="28"/>
        </w:rPr>
        <w:t>ASTM E1333</w:t>
      </w:r>
      <w:r w:rsidRPr="00A270E5">
        <w:rPr>
          <w:rFonts w:hint="eastAsia"/>
          <w:sz w:val="28"/>
          <w:szCs w:val="28"/>
        </w:rPr>
        <w:t>或</w:t>
      </w:r>
      <w:r w:rsidRPr="00A270E5">
        <w:rPr>
          <w:rFonts w:hint="eastAsia"/>
          <w:sz w:val="28"/>
          <w:szCs w:val="28"/>
        </w:rPr>
        <w:t>ASTM D6007</w:t>
      </w:r>
      <w:r w:rsidRPr="00A270E5">
        <w:rPr>
          <w:rFonts w:hint="eastAsia"/>
          <w:sz w:val="28"/>
          <w:szCs w:val="28"/>
        </w:rPr>
        <w:t>方法对应的等同值、建立的质量控制限值以及所使用的质量控制方法。</w:t>
      </w:r>
    </w:p>
    <w:p w14:paraId="5FE15385" w14:textId="77777777" w:rsidR="002219DE" w:rsidRPr="002219DE" w:rsidRDefault="002219DE" w:rsidP="002219DE">
      <w:pPr>
        <w:spacing w:line="360" w:lineRule="auto"/>
        <w:rPr>
          <w:b/>
          <w:bCs/>
          <w:sz w:val="28"/>
          <w:szCs w:val="28"/>
        </w:rPr>
      </w:pPr>
      <w:r w:rsidRPr="002219DE">
        <w:rPr>
          <w:rFonts w:hint="eastAsia"/>
          <w:b/>
          <w:bCs/>
          <w:sz w:val="28"/>
          <w:szCs w:val="28"/>
        </w:rPr>
        <w:t>修订后的描述：</w:t>
      </w:r>
    </w:p>
    <w:p w14:paraId="51F350F1" w14:textId="20E686DC" w:rsidR="002219DE" w:rsidRPr="002219DE" w:rsidRDefault="002219DE" w:rsidP="002219DE">
      <w:pPr>
        <w:spacing w:line="360" w:lineRule="auto"/>
        <w:ind w:firstLineChars="200" w:firstLine="560"/>
        <w:rPr>
          <w:sz w:val="28"/>
          <w:szCs w:val="28"/>
        </w:rPr>
      </w:pPr>
      <w:r w:rsidRPr="00A270E5">
        <w:rPr>
          <w:rFonts w:hint="eastAsia"/>
          <w:sz w:val="28"/>
          <w:szCs w:val="28"/>
        </w:rPr>
        <w:t>C2.5 3</w:t>
      </w:r>
      <w:r w:rsidRPr="00A270E5">
        <w:rPr>
          <w:rFonts w:hint="eastAsia"/>
          <w:sz w:val="28"/>
          <w:szCs w:val="28"/>
        </w:rPr>
        <w:t>）</w:t>
      </w:r>
      <w:r w:rsidRPr="00A270E5">
        <w:rPr>
          <w:rFonts w:hint="eastAsia"/>
          <w:sz w:val="28"/>
          <w:szCs w:val="28"/>
        </w:rPr>
        <w:tab/>
      </w:r>
      <w:r w:rsidRPr="00A270E5">
        <w:rPr>
          <w:rFonts w:hint="eastAsia"/>
          <w:sz w:val="28"/>
          <w:szCs w:val="28"/>
        </w:rPr>
        <w:t>当一个板材生产厂在连续</w:t>
      </w:r>
      <w:r w:rsidRPr="00A270E5">
        <w:rPr>
          <w:rFonts w:hint="eastAsia"/>
          <w:sz w:val="28"/>
          <w:szCs w:val="28"/>
        </w:rPr>
        <w:t>3</w:t>
      </w:r>
      <w:r w:rsidRPr="00A270E5">
        <w:rPr>
          <w:rFonts w:hint="eastAsia"/>
          <w:sz w:val="28"/>
          <w:szCs w:val="28"/>
        </w:rPr>
        <w:t>次以上的质量控制检测中超过了其确立的质量控</w:t>
      </w:r>
      <w:r w:rsidRPr="00A270E5">
        <w:rPr>
          <w:rFonts w:hint="eastAsia"/>
          <w:sz w:val="28"/>
          <w:szCs w:val="28"/>
        </w:rPr>
        <w:t xml:space="preserve"> </w:t>
      </w:r>
      <w:r w:rsidRPr="00A270E5">
        <w:rPr>
          <w:rFonts w:hint="eastAsia"/>
          <w:sz w:val="28"/>
          <w:szCs w:val="28"/>
        </w:rPr>
        <w:t>制限值，认证机构须在知晓第</w:t>
      </w:r>
      <w:r w:rsidRPr="00A270E5">
        <w:rPr>
          <w:rFonts w:hint="eastAsia"/>
          <w:sz w:val="28"/>
          <w:szCs w:val="28"/>
        </w:rPr>
        <w:t>3</w:t>
      </w:r>
      <w:r w:rsidRPr="00A270E5">
        <w:rPr>
          <w:rFonts w:hint="eastAsia"/>
          <w:sz w:val="28"/>
          <w:szCs w:val="28"/>
        </w:rPr>
        <w:t>次超标后</w:t>
      </w:r>
      <w:r w:rsidRPr="00A270E5">
        <w:rPr>
          <w:rFonts w:hint="eastAsia"/>
          <w:sz w:val="28"/>
          <w:szCs w:val="28"/>
        </w:rPr>
        <w:t>72</w:t>
      </w:r>
      <w:r w:rsidRPr="00A270E5">
        <w:rPr>
          <w:rFonts w:hint="eastAsia"/>
          <w:sz w:val="28"/>
          <w:szCs w:val="28"/>
        </w:rPr>
        <w:t>小时内通报。该通报</w:t>
      </w:r>
      <w:proofErr w:type="gramStart"/>
      <w:r w:rsidRPr="00A270E5">
        <w:rPr>
          <w:rFonts w:hint="eastAsia"/>
          <w:sz w:val="28"/>
          <w:szCs w:val="28"/>
        </w:rPr>
        <w:t>须包括</w:t>
      </w:r>
      <w:proofErr w:type="gramEnd"/>
      <w:r w:rsidRPr="00A270E5">
        <w:rPr>
          <w:rFonts w:hint="eastAsia"/>
          <w:sz w:val="28"/>
          <w:szCs w:val="28"/>
        </w:rPr>
        <w:t>产品类型、超</w:t>
      </w:r>
      <w:r w:rsidRPr="00A270E5">
        <w:rPr>
          <w:rFonts w:hint="eastAsia"/>
          <w:sz w:val="28"/>
          <w:szCs w:val="28"/>
        </w:rPr>
        <w:t xml:space="preserve"> </w:t>
      </w:r>
      <w:r w:rsidRPr="00A270E5">
        <w:rPr>
          <w:rFonts w:hint="eastAsia"/>
          <w:sz w:val="28"/>
          <w:szCs w:val="28"/>
        </w:rPr>
        <w:t>过质量控制限值的质量控制检测日期、质量控制检测结果、</w:t>
      </w:r>
      <w:r w:rsidRPr="00A270E5">
        <w:rPr>
          <w:rFonts w:hint="eastAsia"/>
          <w:sz w:val="28"/>
          <w:szCs w:val="28"/>
        </w:rPr>
        <w:t>ASTM E1333</w:t>
      </w:r>
      <w:r w:rsidRPr="00A270E5">
        <w:rPr>
          <w:rFonts w:hint="eastAsia"/>
          <w:sz w:val="28"/>
          <w:szCs w:val="28"/>
        </w:rPr>
        <w:t>或</w:t>
      </w:r>
      <w:r w:rsidRPr="00A270E5">
        <w:rPr>
          <w:rFonts w:hint="eastAsia"/>
          <w:sz w:val="28"/>
          <w:szCs w:val="28"/>
        </w:rPr>
        <w:t>ASTM D6007</w:t>
      </w:r>
      <w:r w:rsidRPr="00A270E5">
        <w:rPr>
          <w:rFonts w:hint="eastAsia"/>
          <w:sz w:val="28"/>
          <w:szCs w:val="28"/>
        </w:rPr>
        <w:t>方法对应的等同值（根据§</w:t>
      </w:r>
      <w:r w:rsidRPr="00A270E5">
        <w:rPr>
          <w:rFonts w:hint="eastAsia"/>
          <w:sz w:val="28"/>
          <w:szCs w:val="28"/>
        </w:rPr>
        <w:t>770.20</w:t>
      </w:r>
      <w:r w:rsidRPr="00A270E5">
        <w:rPr>
          <w:rFonts w:hint="eastAsia"/>
          <w:sz w:val="28"/>
          <w:szCs w:val="28"/>
        </w:rPr>
        <w:t>（</w:t>
      </w:r>
      <w:r w:rsidRPr="00A270E5">
        <w:rPr>
          <w:rFonts w:hint="eastAsia"/>
          <w:sz w:val="28"/>
          <w:szCs w:val="28"/>
        </w:rPr>
        <w:t>d</w:t>
      </w:r>
      <w:r w:rsidRPr="00A270E5">
        <w:rPr>
          <w:rFonts w:hint="eastAsia"/>
          <w:sz w:val="28"/>
          <w:szCs w:val="28"/>
        </w:rPr>
        <w:t>））、建立的质量控制限值以及所使用的质量控制方法。</w:t>
      </w:r>
    </w:p>
    <w:p w14:paraId="60A152D7" w14:textId="09772642" w:rsidR="00EA116F" w:rsidRDefault="00EA116F" w:rsidP="00C03033">
      <w:pPr>
        <w:spacing w:line="360" w:lineRule="auto"/>
        <w:rPr>
          <w:sz w:val="28"/>
          <w:szCs w:val="28"/>
        </w:rPr>
      </w:pPr>
    </w:p>
    <w:p w14:paraId="51E5957E" w14:textId="77777777" w:rsidR="00A270E5" w:rsidRDefault="00A270E5" w:rsidP="00A270E5">
      <w:pPr>
        <w:spacing w:line="240" w:lineRule="auto"/>
        <w:jc w:val="center"/>
        <w:rPr>
          <w:rFonts w:ascii="Arial" w:hAnsi="Arial" w:cs="Arial" w:hint="eastAsia"/>
          <w:b/>
          <w:sz w:val="32"/>
          <w:szCs w:val="32"/>
        </w:rPr>
      </w:pPr>
      <w:r>
        <w:rPr>
          <w:rFonts w:ascii="Arial" w:hAnsi="Arial" w:cs="Arial" w:hint="eastAsia"/>
          <w:b/>
          <w:sz w:val="32"/>
          <w:szCs w:val="32"/>
        </w:rPr>
        <w:lastRenderedPageBreak/>
        <w:t>认可规范文件（</w:t>
      </w:r>
      <w:r>
        <w:rPr>
          <w:rFonts w:ascii="Arial" w:hAnsi="Arial" w:cs="Arial"/>
          <w:b/>
          <w:sz w:val="32"/>
          <w:szCs w:val="32"/>
        </w:rPr>
        <w:t>CNAS-SC26:2017</w:t>
      </w:r>
      <w:r>
        <w:rPr>
          <w:rFonts w:ascii="宋体" w:hAnsi="宋体" w:hint="eastAsia"/>
          <w:b/>
          <w:sz w:val="32"/>
          <w:szCs w:val="32"/>
        </w:rPr>
        <w:t>与</w:t>
      </w:r>
      <w:r>
        <w:rPr>
          <w:rFonts w:ascii="Arial" w:hAnsi="Arial" w:cs="Arial"/>
          <w:b/>
          <w:sz w:val="32"/>
          <w:szCs w:val="32"/>
        </w:rPr>
        <w:t>CNAS-SC26:20</w:t>
      </w:r>
      <w:r>
        <w:rPr>
          <w:rFonts w:ascii="Arial" w:hAnsi="Arial" w:cs="Arial" w:hint="eastAsia"/>
          <w:b/>
          <w:sz w:val="32"/>
          <w:szCs w:val="32"/>
        </w:rPr>
        <w:t>XX</w:t>
      </w:r>
      <w:r>
        <w:rPr>
          <w:rFonts w:ascii="Arial" w:hAnsi="Arial" w:cs="Arial" w:hint="eastAsia"/>
          <w:b/>
          <w:sz w:val="32"/>
          <w:szCs w:val="32"/>
        </w:rPr>
        <w:t>）</w:t>
      </w:r>
    </w:p>
    <w:p w14:paraId="6FA4ED9E" w14:textId="77777777" w:rsidR="00A270E5" w:rsidRDefault="00A270E5" w:rsidP="00A270E5">
      <w:pPr>
        <w:spacing w:line="240" w:lineRule="auto"/>
        <w:jc w:val="center"/>
        <w:rPr>
          <w:rFonts w:ascii="Arial" w:hAnsi="Arial" w:cs="Arial" w:hint="eastAsia"/>
          <w:b/>
          <w:sz w:val="32"/>
          <w:szCs w:val="32"/>
        </w:rPr>
      </w:pPr>
      <w:r>
        <w:rPr>
          <w:rFonts w:ascii="Arial" w:hAnsi="Arial" w:cs="Arial" w:hint="eastAsia"/>
          <w:b/>
          <w:sz w:val="32"/>
          <w:szCs w:val="32"/>
        </w:rPr>
        <w:t>修订内容差异对照表</w:t>
      </w:r>
    </w:p>
    <w:p w14:paraId="253CC75A" w14:textId="77777777" w:rsidR="00A270E5" w:rsidRDefault="00A270E5" w:rsidP="00A270E5">
      <w:pPr>
        <w:spacing w:line="240" w:lineRule="auto"/>
        <w:rPr>
          <w:rFonts w:ascii="宋体" w:hAnsi="宋体" w:hint="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
        <w:gridCol w:w="705"/>
        <w:gridCol w:w="3072"/>
        <w:gridCol w:w="660"/>
        <w:gridCol w:w="3174"/>
        <w:gridCol w:w="469"/>
      </w:tblGrid>
      <w:tr w:rsidR="00A270E5" w:rsidRPr="00A270E5" w14:paraId="69C73DE0" w14:textId="77777777" w:rsidTr="004D6015">
        <w:trPr>
          <w:trHeight w:val="587"/>
        </w:trPr>
        <w:tc>
          <w:tcPr>
            <w:tcW w:w="0" w:type="auto"/>
            <w:vMerge w:val="restart"/>
            <w:vAlign w:val="center"/>
          </w:tcPr>
          <w:p w14:paraId="27B89267" w14:textId="77777777" w:rsidR="00A270E5" w:rsidRPr="00A270E5" w:rsidRDefault="00A270E5" w:rsidP="004D6015">
            <w:pPr>
              <w:spacing w:line="240" w:lineRule="auto"/>
              <w:jc w:val="center"/>
              <w:rPr>
                <w:b/>
              </w:rPr>
            </w:pPr>
            <w:bookmarkStart w:id="0" w:name="_Hlk52285110"/>
            <w:r w:rsidRPr="00A270E5">
              <w:rPr>
                <w:rFonts w:hint="eastAsia"/>
                <w:b/>
              </w:rPr>
              <w:t>序号</w:t>
            </w:r>
          </w:p>
        </w:tc>
        <w:tc>
          <w:tcPr>
            <w:tcW w:w="0" w:type="auto"/>
            <w:gridSpan w:val="2"/>
            <w:vAlign w:val="center"/>
          </w:tcPr>
          <w:p w14:paraId="6ED53090" w14:textId="77777777" w:rsidR="00A270E5" w:rsidRPr="00A270E5" w:rsidRDefault="00A270E5" w:rsidP="004D6015">
            <w:pPr>
              <w:jc w:val="center"/>
              <w:rPr>
                <w:rFonts w:ascii="Arial" w:hAnsi="Arial" w:cs="Arial"/>
                <w:sz w:val="24"/>
                <w:szCs w:val="24"/>
              </w:rPr>
            </w:pPr>
            <w:r w:rsidRPr="00A270E5">
              <w:rPr>
                <w:rFonts w:ascii="Arial" w:hAnsi="Arial" w:cs="Arial"/>
                <w:sz w:val="24"/>
                <w:szCs w:val="24"/>
              </w:rPr>
              <w:t>CNAS</w:t>
            </w:r>
            <w:r w:rsidRPr="00A270E5">
              <w:rPr>
                <w:rFonts w:ascii="Arial" w:hAnsi="Arial" w:cs="Arial" w:hint="eastAsia"/>
                <w:sz w:val="24"/>
                <w:szCs w:val="24"/>
              </w:rPr>
              <w:t>-SC</w:t>
            </w:r>
            <w:r w:rsidRPr="00A270E5">
              <w:rPr>
                <w:rFonts w:ascii="Arial" w:hAnsi="Arial" w:cs="Arial"/>
                <w:sz w:val="24"/>
                <w:szCs w:val="24"/>
              </w:rPr>
              <w:t>26-2017</w:t>
            </w:r>
          </w:p>
        </w:tc>
        <w:tc>
          <w:tcPr>
            <w:tcW w:w="0" w:type="auto"/>
            <w:gridSpan w:val="2"/>
            <w:vAlign w:val="center"/>
          </w:tcPr>
          <w:p w14:paraId="03B4F888" w14:textId="77777777" w:rsidR="00A270E5" w:rsidRPr="00A270E5" w:rsidRDefault="00A270E5" w:rsidP="004D6015">
            <w:pPr>
              <w:spacing w:line="240" w:lineRule="auto"/>
              <w:jc w:val="center"/>
              <w:rPr>
                <w:rFonts w:ascii="Arial" w:hAnsi="Arial" w:cs="Arial"/>
                <w:sz w:val="24"/>
                <w:szCs w:val="24"/>
              </w:rPr>
            </w:pPr>
            <w:r w:rsidRPr="00A270E5">
              <w:rPr>
                <w:rFonts w:ascii="Arial" w:hAnsi="Arial" w:cs="Arial"/>
                <w:sz w:val="24"/>
                <w:szCs w:val="24"/>
              </w:rPr>
              <w:t>CNAS</w:t>
            </w:r>
            <w:r w:rsidRPr="00A270E5">
              <w:rPr>
                <w:rFonts w:ascii="Arial" w:hAnsi="Arial" w:cs="Arial" w:hint="eastAsia"/>
                <w:sz w:val="24"/>
                <w:szCs w:val="24"/>
              </w:rPr>
              <w:t>-SC</w:t>
            </w:r>
            <w:r w:rsidRPr="00A270E5">
              <w:rPr>
                <w:rFonts w:ascii="Arial" w:hAnsi="Arial" w:cs="Arial"/>
                <w:sz w:val="24"/>
                <w:szCs w:val="24"/>
              </w:rPr>
              <w:t>26-20</w:t>
            </w:r>
            <w:r w:rsidRPr="00A270E5">
              <w:rPr>
                <w:rFonts w:ascii="Arial" w:hAnsi="Arial" w:cs="Arial" w:hint="eastAsia"/>
                <w:sz w:val="24"/>
                <w:szCs w:val="24"/>
              </w:rPr>
              <w:t>**</w:t>
            </w:r>
          </w:p>
        </w:tc>
        <w:tc>
          <w:tcPr>
            <w:tcW w:w="0" w:type="auto"/>
            <w:vAlign w:val="center"/>
          </w:tcPr>
          <w:p w14:paraId="50AF2264" w14:textId="77777777" w:rsidR="00A270E5" w:rsidRPr="00A270E5" w:rsidRDefault="00A270E5" w:rsidP="004D6015">
            <w:pPr>
              <w:spacing w:line="240" w:lineRule="auto"/>
              <w:jc w:val="center"/>
              <w:rPr>
                <w:rFonts w:hint="eastAsia"/>
                <w:b/>
              </w:rPr>
            </w:pPr>
            <w:r w:rsidRPr="00A270E5">
              <w:rPr>
                <w:rFonts w:hint="eastAsia"/>
                <w:b/>
              </w:rPr>
              <w:t>备注</w:t>
            </w:r>
          </w:p>
        </w:tc>
      </w:tr>
      <w:tr w:rsidR="00A270E5" w:rsidRPr="00A270E5" w14:paraId="1FD91140" w14:textId="77777777" w:rsidTr="004D6015">
        <w:trPr>
          <w:trHeight w:val="567"/>
        </w:trPr>
        <w:tc>
          <w:tcPr>
            <w:tcW w:w="0" w:type="auto"/>
            <w:vMerge/>
            <w:vAlign w:val="center"/>
          </w:tcPr>
          <w:p w14:paraId="1B9DBBA1" w14:textId="77777777" w:rsidR="00A270E5" w:rsidRPr="00A270E5" w:rsidRDefault="00A270E5" w:rsidP="004D6015">
            <w:pPr>
              <w:spacing w:line="240" w:lineRule="auto"/>
              <w:jc w:val="center"/>
              <w:rPr>
                <w:rFonts w:hint="eastAsia"/>
              </w:rPr>
            </w:pPr>
          </w:p>
        </w:tc>
        <w:tc>
          <w:tcPr>
            <w:tcW w:w="0" w:type="auto"/>
            <w:vAlign w:val="center"/>
          </w:tcPr>
          <w:p w14:paraId="0D33CFA1" w14:textId="77777777" w:rsidR="00A270E5" w:rsidRPr="00A270E5" w:rsidRDefault="00A270E5" w:rsidP="004D6015">
            <w:pPr>
              <w:jc w:val="center"/>
              <w:rPr>
                <w:rFonts w:hint="eastAsia"/>
              </w:rPr>
            </w:pPr>
            <w:r w:rsidRPr="00A270E5">
              <w:rPr>
                <w:rFonts w:hint="eastAsia"/>
              </w:rPr>
              <w:t>条款号</w:t>
            </w:r>
          </w:p>
        </w:tc>
        <w:tc>
          <w:tcPr>
            <w:tcW w:w="0" w:type="auto"/>
            <w:vAlign w:val="center"/>
          </w:tcPr>
          <w:p w14:paraId="17B1198D" w14:textId="77777777" w:rsidR="00A270E5" w:rsidRPr="00A270E5" w:rsidRDefault="00A270E5" w:rsidP="004D6015">
            <w:pPr>
              <w:spacing w:line="240" w:lineRule="auto"/>
              <w:jc w:val="center"/>
              <w:rPr>
                <w:rFonts w:hint="eastAsia"/>
              </w:rPr>
            </w:pPr>
            <w:r w:rsidRPr="00A270E5">
              <w:rPr>
                <w:rFonts w:hint="eastAsia"/>
              </w:rPr>
              <w:t>内容</w:t>
            </w:r>
          </w:p>
        </w:tc>
        <w:tc>
          <w:tcPr>
            <w:tcW w:w="0" w:type="auto"/>
            <w:vAlign w:val="center"/>
          </w:tcPr>
          <w:p w14:paraId="002DE355" w14:textId="77777777" w:rsidR="00A270E5" w:rsidRPr="00A270E5" w:rsidRDefault="00A270E5" w:rsidP="004D6015">
            <w:pPr>
              <w:spacing w:line="240" w:lineRule="auto"/>
              <w:jc w:val="center"/>
              <w:rPr>
                <w:rFonts w:hint="eastAsia"/>
              </w:rPr>
            </w:pPr>
            <w:r w:rsidRPr="00A270E5">
              <w:rPr>
                <w:rFonts w:hint="eastAsia"/>
              </w:rPr>
              <w:t>条款号</w:t>
            </w:r>
          </w:p>
        </w:tc>
        <w:tc>
          <w:tcPr>
            <w:tcW w:w="0" w:type="auto"/>
            <w:vAlign w:val="center"/>
          </w:tcPr>
          <w:p w14:paraId="7B76F4B0" w14:textId="77777777" w:rsidR="00A270E5" w:rsidRPr="00A270E5" w:rsidRDefault="00A270E5" w:rsidP="004D6015">
            <w:pPr>
              <w:spacing w:line="240" w:lineRule="auto"/>
              <w:jc w:val="center"/>
              <w:rPr>
                <w:rFonts w:hint="eastAsia"/>
              </w:rPr>
            </w:pPr>
            <w:r w:rsidRPr="00A270E5">
              <w:rPr>
                <w:rFonts w:hint="eastAsia"/>
              </w:rPr>
              <w:t>内容</w:t>
            </w:r>
          </w:p>
        </w:tc>
        <w:tc>
          <w:tcPr>
            <w:tcW w:w="0" w:type="auto"/>
            <w:vAlign w:val="center"/>
          </w:tcPr>
          <w:p w14:paraId="1D9608B7" w14:textId="77777777" w:rsidR="00A270E5" w:rsidRPr="00A270E5" w:rsidRDefault="00A270E5" w:rsidP="004D6015">
            <w:pPr>
              <w:spacing w:line="240" w:lineRule="auto"/>
              <w:jc w:val="center"/>
              <w:rPr>
                <w:rFonts w:hint="eastAsia"/>
              </w:rPr>
            </w:pPr>
          </w:p>
        </w:tc>
      </w:tr>
      <w:tr w:rsidR="00A270E5" w14:paraId="488C5117" w14:textId="77777777" w:rsidTr="004D6015">
        <w:trPr>
          <w:trHeight w:val="567"/>
        </w:trPr>
        <w:tc>
          <w:tcPr>
            <w:tcW w:w="0" w:type="auto"/>
            <w:vAlign w:val="center"/>
          </w:tcPr>
          <w:p w14:paraId="657783A3" w14:textId="77777777" w:rsidR="00A270E5" w:rsidRPr="00A270E5" w:rsidRDefault="00A270E5" w:rsidP="004D6015">
            <w:pPr>
              <w:spacing w:line="240" w:lineRule="auto"/>
              <w:rPr>
                <w:rFonts w:hint="eastAsia"/>
              </w:rPr>
            </w:pPr>
            <w:r w:rsidRPr="00A270E5">
              <w:rPr>
                <w:rFonts w:hint="eastAsia"/>
              </w:rPr>
              <w:t>1</w:t>
            </w:r>
          </w:p>
        </w:tc>
        <w:tc>
          <w:tcPr>
            <w:tcW w:w="0" w:type="auto"/>
            <w:vAlign w:val="center"/>
          </w:tcPr>
          <w:p w14:paraId="3501F7AE" w14:textId="77777777" w:rsidR="00A270E5" w:rsidRPr="00A270E5" w:rsidRDefault="00A270E5" w:rsidP="004D6015">
            <w:pPr>
              <w:spacing w:line="240" w:lineRule="auto"/>
              <w:rPr>
                <w:rFonts w:hint="eastAsia"/>
              </w:rPr>
            </w:pPr>
            <w:r w:rsidRPr="00A270E5">
              <w:rPr>
                <w:rFonts w:hint="eastAsia"/>
              </w:rPr>
              <w:t>C</w:t>
            </w:r>
            <w:r w:rsidRPr="00A270E5">
              <w:t>2.5 3</w:t>
            </w:r>
            <w:r w:rsidRPr="00A270E5">
              <w:rPr>
                <w:rFonts w:hint="eastAsia"/>
              </w:rPr>
              <w:t>）</w:t>
            </w:r>
          </w:p>
        </w:tc>
        <w:tc>
          <w:tcPr>
            <w:tcW w:w="0" w:type="auto"/>
            <w:vAlign w:val="center"/>
          </w:tcPr>
          <w:p w14:paraId="2787A488" w14:textId="77777777" w:rsidR="00A270E5" w:rsidRPr="00A270E5" w:rsidRDefault="00A270E5" w:rsidP="004D6015">
            <w:pPr>
              <w:autoSpaceDE w:val="0"/>
              <w:autoSpaceDN w:val="0"/>
              <w:spacing w:line="240" w:lineRule="auto"/>
              <w:jc w:val="left"/>
              <w:rPr>
                <w:rFonts w:ascii="宋体" w:hAnsi="Calibri" w:cs="宋体"/>
                <w:color w:val="000000"/>
                <w:sz w:val="24"/>
                <w:szCs w:val="24"/>
              </w:rPr>
            </w:pPr>
          </w:p>
          <w:p w14:paraId="19BFB27A" w14:textId="77777777" w:rsidR="00A270E5" w:rsidRPr="00A270E5" w:rsidRDefault="00A270E5" w:rsidP="004D6015">
            <w:pPr>
              <w:autoSpaceDE w:val="0"/>
              <w:autoSpaceDN w:val="0"/>
              <w:spacing w:line="240" w:lineRule="auto"/>
              <w:jc w:val="left"/>
              <w:rPr>
                <w:rFonts w:ascii="宋体" w:hAnsi="Calibri" w:cs="宋体"/>
                <w:color w:val="000000"/>
                <w:sz w:val="23"/>
                <w:szCs w:val="23"/>
              </w:rPr>
            </w:pPr>
            <w:r w:rsidRPr="00A270E5">
              <w:t>当一个板材生产厂在连续</w:t>
            </w:r>
            <w:r w:rsidRPr="00A270E5">
              <w:rPr>
                <w:rFonts w:hint="eastAsia"/>
                <w:u w:val="single"/>
              </w:rPr>
              <w:t>二</w:t>
            </w:r>
            <w:r w:rsidRPr="00A270E5">
              <w:t>次以上的质量控制检测中超过了其确立的质量控</w:t>
            </w:r>
            <w:r w:rsidRPr="00A270E5">
              <w:t xml:space="preserve"> </w:t>
            </w:r>
            <w:r w:rsidRPr="00A270E5">
              <w:rPr>
                <w:spacing w:val="-3"/>
              </w:rPr>
              <w:t>制限值，认证机构须在知晓第</w:t>
            </w:r>
            <w:r w:rsidRPr="00A270E5">
              <w:rPr>
                <w:rFonts w:hint="eastAsia"/>
                <w:spacing w:val="-3"/>
                <w:u w:val="single"/>
              </w:rPr>
              <w:t>二</w:t>
            </w:r>
            <w:r w:rsidRPr="00A270E5">
              <w:rPr>
                <w:spacing w:val="-3"/>
              </w:rPr>
              <w:t>次超标后</w:t>
            </w:r>
            <w:r w:rsidRPr="00A270E5">
              <w:rPr>
                <w:rFonts w:eastAsia="Times New Roman"/>
                <w:spacing w:val="-3"/>
              </w:rPr>
              <w:t>72</w:t>
            </w:r>
            <w:r w:rsidRPr="00A270E5">
              <w:rPr>
                <w:spacing w:val="-3"/>
              </w:rPr>
              <w:t>小时内通报。该通报</w:t>
            </w:r>
            <w:proofErr w:type="gramStart"/>
            <w:r w:rsidRPr="00A270E5">
              <w:rPr>
                <w:spacing w:val="-3"/>
              </w:rPr>
              <w:t>须包括</w:t>
            </w:r>
            <w:proofErr w:type="gramEnd"/>
            <w:r w:rsidRPr="00A270E5">
              <w:rPr>
                <w:spacing w:val="-3"/>
              </w:rPr>
              <w:t>产品类型、超</w:t>
            </w:r>
            <w:r w:rsidRPr="00A270E5">
              <w:rPr>
                <w:spacing w:val="-102"/>
              </w:rPr>
              <w:t xml:space="preserve"> </w:t>
            </w:r>
            <w:r w:rsidRPr="00A270E5">
              <w:t>过质量控制限值的质量控制检测日期、质量控制检测结果、</w:t>
            </w:r>
            <w:r w:rsidRPr="00A270E5">
              <w:rPr>
                <w:rFonts w:eastAsia="Times New Roman"/>
              </w:rPr>
              <w:t>ASTM E1333</w:t>
            </w:r>
            <w:r w:rsidRPr="00A270E5">
              <w:t>或</w:t>
            </w:r>
            <w:r w:rsidRPr="00A270E5">
              <w:rPr>
                <w:rFonts w:eastAsia="Times New Roman"/>
              </w:rPr>
              <w:t>ASTM D6007</w:t>
            </w:r>
            <w:r w:rsidRPr="00A270E5">
              <w:t>方法对应的</w:t>
            </w:r>
            <w:proofErr w:type="gramStart"/>
            <w:r w:rsidRPr="00A270E5">
              <w:t>等同值</w:t>
            </w:r>
            <w:proofErr w:type="gramEnd"/>
            <w:r w:rsidRPr="00A270E5">
              <w:rPr>
                <w:rFonts w:ascii="宋体" w:hAnsi="Calibri" w:cs="宋体"/>
                <w:color w:val="000000"/>
                <w:sz w:val="23"/>
                <w:szCs w:val="23"/>
              </w:rPr>
              <w:t>……</w:t>
            </w:r>
          </w:p>
          <w:p w14:paraId="6A2EA738" w14:textId="77777777" w:rsidR="00A270E5" w:rsidRPr="00A270E5" w:rsidRDefault="00A270E5" w:rsidP="004D6015">
            <w:pPr>
              <w:spacing w:line="240" w:lineRule="auto"/>
              <w:jc w:val="center"/>
              <w:rPr>
                <w:rFonts w:hint="eastAsia"/>
              </w:rPr>
            </w:pPr>
          </w:p>
        </w:tc>
        <w:tc>
          <w:tcPr>
            <w:tcW w:w="0" w:type="auto"/>
            <w:vAlign w:val="center"/>
          </w:tcPr>
          <w:p w14:paraId="1AD1F254" w14:textId="77777777" w:rsidR="00A270E5" w:rsidRPr="00A270E5" w:rsidRDefault="00A270E5" w:rsidP="004D6015">
            <w:pPr>
              <w:spacing w:line="240" w:lineRule="auto"/>
              <w:jc w:val="center"/>
              <w:rPr>
                <w:rFonts w:hint="eastAsia"/>
              </w:rPr>
            </w:pPr>
            <w:r w:rsidRPr="00A270E5">
              <w:rPr>
                <w:rFonts w:hint="eastAsia"/>
              </w:rPr>
              <w:t>C</w:t>
            </w:r>
            <w:r w:rsidRPr="00A270E5">
              <w:t>2.5 3</w:t>
            </w:r>
            <w:r w:rsidRPr="00A270E5">
              <w:rPr>
                <w:rFonts w:hint="eastAsia"/>
              </w:rPr>
              <w:t>）</w:t>
            </w:r>
          </w:p>
        </w:tc>
        <w:tc>
          <w:tcPr>
            <w:tcW w:w="0" w:type="auto"/>
            <w:vAlign w:val="center"/>
          </w:tcPr>
          <w:p w14:paraId="034A31F9" w14:textId="77777777" w:rsidR="00A270E5" w:rsidRPr="00A270E5" w:rsidRDefault="00A270E5" w:rsidP="004D6015">
            <w:pPr>
              <w:autoSpaceDE w:val="0"/>
              <w:autoSpaceDN w:val="0"/>
              <w:spacing w:line="240" w:lineRule="auto"/>
              <w:jc w:val="left"/>
              <w:rPr>
                <w:rFonts w:ascii="宋体" w:hAnsi="Calibri" w:cs="宋体"/>
                <w:color w:val="000000"/>
                <w:sz w:val="23"/>
                <w:szCs w:val="23"/>
              </w:rPr>
            </w:pPr>
            <w:r w:rsidRPr="00A270E5">
              <w:t>当一个板材生产厂在连续</w:t>
            </w:r>
            <w:r w:rsidRPr="00A270E5">
              <w:rPr>
                <w:rFonts w:hint="eastAsia"/>
                <w:u w:val="single"/>
              </w:rPr>
              <w:t>3</w:t>
            </w:r>
            <w:r w:rsidRPr="00A270E5">
              <w:t>次以上的质量控制检测中超过了其确立的质量控</w:t>
            </w:r>
            <w:r w:rsidRPr="00A270E5">
              <w:t xml:space="preserve"> </w:t>
            </w:r>
            <w:r w:rsidRPr="00A270E5">
              <w:rPr>
                <w:spacing w:val="-3"/>
              </w:rPr>
              <w:t>制限值，认证机构须在知晓第</w:t>
            </w:r>
            <w:r w:rsidRPr="00A270E5">
              <w:rPr>
                <w:rFonts w:hint="eastAsia"/>
                <w:spacing w:val="-3"/>
                <w:u w:val="single"/>
              </w:rPr>
              <w:t>3</w:t>
            </w:r>
            <w:r w:rsidRPr="00A270E5">
              <w:rPr>
                <w:spacing w:val="-3"/>
              </w:rPr>
              <w:t>次超标后</w:t>
            </w:r>
            <w:r w:rsidRPr="00A270E5">
              <w:rPr>
                <w:rFonts w:eastAsia="Times New Roman"/>
                <w:spacing w:val="-3"/>
              </w:rPr>
              <w:t>72</w:t>
            </w:r>
            <w:r w:rsidRPr="00A270E5">
              <w:rPr>
                <w:spacing w:val="-3"/>
              </w:rPr>
              <w:t>小时内通报。该通报</w:t>
            </w:r>
            <w:proofErr w:type="gramStart"/>
            <w:r w:rsidRPr="00A270E5">
              <w:rPr>
                <w:spacing w:val="-3"/>
              </w:rPr>
              <w:t>须包括</w:t>
            </w:r>
            <w:proofErr w:type="gramEnd"/>
            <w:r w:rsidRPr="00A270E5">
              <w:rPr>
                <w:spacing w:val="-3"/>
              </w:rPr>
              <w:t>产品类型、超</w:t>
            </w:r>
            <w:r w:rsidRPr="00A270E5">
              <w:rPr>
                <w:spacing w:val="-102"/>
              </w:rPr>
              <w:t xml:space="preserve"> </w:t>
            </w:r>
            <w:r w:rsidRPr="00A270E5">
              <w:t>过质量控制限值的质量控制检测日期、质量控制检测结果、</w:t>
            </w:r>
            <w:r w:rsidRPr="00A270E5">
              <w:rPr>
                <w:rFonts w:eastAsia="Times New Roman"/>
              </w:rPr>
              <w:t>ASTM E1333</w:t>
            </w:r>
            <w:r w:rsidRPr="00A270E5">
              <w:t>或</w:t>
            </w:r>
            <w:r w:rsidRPr="00A270E5">
              <w:rPr>
                <w:rFonts w:eastAsia="Times New Roman"/>
              </w:rPr>
              <w:t>ASTM D6007</w:t>
            </w:r>
            <w:r w:rsidRPr="00A270E5">
              <w:t>方法对应的等同值</w:t>
            </w:r>
            <w:r w:rsidRPr="00A270E5">
              <w:rPr>
                <w:rFonts w:hint="eastAsia"/>
                <w:u w:val="single"/>
              </w:rPr>
              <w:t>（根据§</w:t>
            </w:r>
            <w:r w:rsidRPr="00A270E5">
              <w:rPr>
                <w:rFonts w:hint="eastAsia"/>
                <w:u w:val="single"/>
              </w:rPr>
              <w:t>770.20</w:t>
            </w:r>
            <w:r w:rsidRPr="00A270E5">
              <w:rPr>
                <w:rFonts w:hint="eastAsia"/>
                <w:u w:val="single"/>
              </w:rPr>
              <w:t>（</w:t>
            </w:r>
            <w:r w:rsidRPr="00A270E5">
              <w:rPr>
                <w:rFonts w:hint="eastAsia"/>
                <w:u w:val="single"/>
              </w:rPr>
              <w:t>d</w:t>
            </w:r>
            <w:r w:rsidRPr="00A270E5">
              <w:rPr>
                <w:rFonts w:hint="eastAsia"/>
                <w:u w:val="single"/>
              </w:rPr>
              <w:t>））</w:t>
            </w:r>
            <w:r w:rsidRPr="00A270E5">
              <w:rPr>
                <w:rFonts w:ascii="宋体" w:hAnsi="Calibri" w:cs="宋体"/>
                <w:color w:val="000000"/>
                <w:sz w:val="23"/>
                <w:szCs w:val="23"/>
              </w:rPr>
              <w:t>……</w:t>
            </w:r>
          </w:p>
          <w:p w14:paraId="506BCC70" w14:textId="77777777" w:rsidR="00A270E5" w:rsidRPr="00A270E5" w:rsidRDefault="00A270E5" w:rsidP="004D6015">
            <w:pPr>
              <w:spacing w:line="240" w:lineRule="auto"/>
              <w:jc w:val="center"/>
              <w:rPr>
                <w:rFonts w:hint="eastAsia"/>
              </w:rPr>
            </w:pPr>
          </w:p>
        </w:tc>
        <w:tc>
          <w:tcPr>
            <w:tcW w:w="0" w:type="auto"/>
            <w:vAlign w:val="center"/>
          </w:tcPr>
          <w:p w14:paraId="528EBA42" w14:textId="77777777" w:rsidR="00A270E5" w:rsidRDefault="00A270E5" w:rsidP="004D6015">
            <w:pPr>
              <w:spacing w:line="240" w:lineRule="auto"/>
              <w:jc w:val="center"/>
              <w:rPr>
                <w:rFonts w:hint="eastAsia"/>
              </w:rPr>
            </w:pPr>
            <w:r w:rsidRPr="00A270E5">
              <w:rPr>
                <w:rFonts w:hint="eastAsia"/>
              </w:rPr>
              <w:t>内容变更</w:t>
            </w:r>
          </w:p>
        </w:tc>
        <w:bookmarkStart w:id="1" w:name="_GoBack"/>
        <w:bookmarkEnd w:id="1"/>
      </w:tr>
      <w:bookmarkEnd w:id="0"/>
    </w:tbl>
    <w:p w14:paraId="1CA1A605" w14:textId="47E6EDC5" w:rsidR="00433A34" w:rsidRPr="00433A34" w:rsidRDefault="00433A34" w:rsidP="00C03033">
      <w:pPr>
        <w:spacing w:line="360" w:lineRule="auto"/>
        <w:rPr>
          <w:sz w:val="28"/>
          <w:szCs w:val="28"/>
        </w:rPr>
      </w:pPr>
    </w:p>
    <w:sectPr w:rsidR="00433A34" w:rsidRPr="00433A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8A835" w14:textId="77777777" w:rsidR="004D6638" w:rsidRDefault="004D6638" w:rsidP="00F45F3C">
      <w:pPr>
        <w:spacing w:line="240" w:lineRule="auto"/>
      </w:pPr>
      <w:r>
        <w:separator/>
      </w:r>
    </w:p>
  </w:endnote>
  <w:endnote w:type="continuationSeparator" w:id="0">
    <w:p w14:paraId="4F6DDFAC" w14:textId="77777777" w:rsidR="004D6638" w:rsidRDefault="004D6638" w:rsidP="00F45F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2390F" w14:textId="77777777" w:rsidR="004D6638" w:rsidRDefault="004D6638" w:rsidP="00F45F3C">
      <w:pPr>
        <w:spacing w:line="240" w:lineRule="auto"/>
      </w:pPr>
      <w:r>
        <w:separator/>
      </w:r>
    </w:p>
  </w:footnote>
  <w:footnote w:type="continuationSeparator" w:id="0">
    <w:p w14:paraId="7628B11A" w14:textId="77777777" w:rsidR="004D6638" w:rsidRDefault="004D6638" w:rsidP="00F45F3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0F1D"/>
    <w:multiLevelType w:val="hybridMultilevel"/>
    <w:tmpl w:val="23A607E0"/>
    <w:lvl w:ilvl="0" w:tplc="7E40E08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25400A1"/>
    <w:multiLevelType w:val="hybridMultilevel"/>
    <w:tmpl w:val="ED7AFC70"/>
    <w:lvl w:ilvl="0" w:tplc="297864A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325"/>
    <w:rsid w:val="00084AD8"/>
    <w:rsid w:val="00094A94"/>
    <w:rsid w:val="000B30E5"/>
    <w:rsid w:val="00100373"/>
    <w:rsid w:val="00146628"/>
    <w:rsid w:val="002219DE"/>
    <w:rsid w:val="00303A65"/>
    <w:rsid w:val="00433A34"/>
    <w:rsid w:val="00433DF3"/>
    <w:rsid w:val="004A6AB9"/>
    <w:rsid w:val="004C005C"/>
    <w:rsid w:val="004D6638"/>
    <w:rsid w:val="005541B2"/>
    <w:rsid w:val="00561325"/>
    <w:rsid w:val="0061298B"/>
    <w:rsid w:val="00621D6A"/>
    <w:rsid w:val="0071790B"/>
    <w:rsid w:val="00804345"/>
    <w:rsid w:val="008A3B39"/>
    <w:rsid w:val="009254D4"/>
    <w:rsid w:val="00976751"/>
    <w:rsid w:val="00A270E5"/>
    <w:rsid w:val="00A379D6"/>
    <w:rsid w:val="00C03033"/>
    <w:rsid w:val="00C71135"/>
    <w:rsid w:val="00CF7A07"/>
    <w:rsid w:val="00DF678F"/>
    <w:rsid w:val="00EA116F"/>
    <w:rsid w:val="00F45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C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325"/>
    <w:pPr>
      <w:widowControl w:val="0"/>
      <w:adjustRightInd w:val="0"/>
      <w:spacing w:line="312" w:lineRule="atLeast"/>
      <w:jc w:val="both"/>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033"/>
    <w:pPr>
      <w:ind w:firstLineChars="200" w:firstLine="420"/>
    </w:pPr>
  </w:style>
  <w:style w:type="paragraph" w:styleId="a4">
    <w:name w:val="header"/>
    <w:basedOn w:val="a"/>
    <w:link w:val="Char"/>
    <w:uiPriority w:val="99"/>
    <w:unhideWhenUsed/>
    <w:rsid w:val="00F45F3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F45F3C"/>
    <w:rPr>
      <w:rFonts w:ascii="Times New Roman" w:eastAsia="宋体" w:hAnsi="Times New Roman" w:cs="Times New Roman"/>
      <w:kern w:val="0"/>
      <w:sz w:val="18"/>
      <w:szCs w:val="18"/>
    </w:rPr>
  </w:style>
  <w:style w:type="paragraph" w:styleId="a5">
    <w:name w:val="footer"/>
    <w:basedOn w:val="a"/>
    <w:link w:val="Char0"/>
    <w:uiPriority w:val="99"/>
    <w:unhideWhenUsed/>
    <w:rsid w:val="00F45F3C"/>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F45F3C"/>
    <w:rPr>
      <w:rFonts w:ascii="Times New Roman" w:eastAsia="宋体" w:hAnsi="Times New Roman" w:cs="Times New Roman"/>
      <w:kern w:val="0"/>
      <w:sz w:val="18"/>
      <w:szCs w:val="18"/>
    </w:rPr>
  </w:style>
  <w:style w:type="paragraph" w:styleId="a6">
    <w:name w:val="Balloon Text"/>
    <w:basedOn w:val="a"/>
    <w:link w:val="Char1"/>
    <w:uiPriority w:val="99"/>
    <w:semiHidden/>
    <w:unhideWhenUsed/>
    <w:rsid w:val="002219DE"/>
    <w:pPr>
      <w:spacing w:line="240" w:lineRule="auto"/>
    </w:pPr>
    <w:rPr>
      <w:sz w:val="18"/>
      <w:szCs w:val="18"/>
    </w:rPr>
  </w:style>
  <w:style w:type="character" w:customStyle="1" w:styleId="Char1">
    <w:name w:val="批注框文本 Char"/>
    <w:basedOn w:val="a0"/>
    <w:link w:val="a6"/>
    <w:uiPriority w:val="99"/>
    <w:semiHidden/>
    <w:rsid w:val="002219DE"/>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325"/>
    <w:pPr>
      <w:widowControl w:val="0"/>
      <w:adjustRightInd w:val="0"/>
      <w:spacing w:line="312" w:lineRule="atLeast"/>
      <w:jc w:val="both"/>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033"/>
    <w:pPr>
      <w:ind w:firstLineChars="200" w:firstLine="420"/>
    </w:pPr>
  </w:style>
  <w:style w:type="paragraph" w:styleId="a4">
    <w:name w:val="header"/>
    <w:basedOn w:val="a"/>
    <w:link w:val="Char"/>
    <w:uiPriority w:val="99"/>
    <w:unhideWhenUsed/>
    <w:rsid w:val="00F45F3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F45F3C"/>
    <w:rPr>
      <w:rFonts w:ascii="Times New Roman" w:eastAsia="宋体" w:hAnsi="Times New Roman" w:cs="Times New Roman"/>
      <w:kern w:val="0"/>
      <w:sz w:val="18"/>
      <w:szCs w:val="18"/>
    </w:rPr>
  </w:style>
  <w:style w:type="paragraph" w:styleId="a5">
    <w:name w:val="footer"/>
    <w:basedOn w:val="a"/>
    <w:link w:val="Char0"/>
    <w:uiPriority w:val="99"/>
    <w:unhideWhenUsed/>
    <w:rsid w:val="00F45F3C"/>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F45F3C"/>
    <w:rPr>
      <w:rFonts w:ascii="Times New Roman" w:eastAsia="宋体" w:hAnsi="Times New Roman" w:cs="Times New Roman"/>
      <w:kern w:val="0"/>
      <w:sz w:val="18"/>
      <w:szCs w:val="18"/>
    </w:rPr>
  </w:style>
  <w:style w:type="paragraph" w:styleId="a6">
    <w:name w:val="Balloon Text"/>
    <w:basedOn w:val="a"/>
    <w:link w:val="Char1"/>
    <w:uiPriority w:val="99"/>
    <w:semiHidden/>
    <w:unhideWhenUsed/>
    <w:rsid w:val="002219DE"/>
    <w:pPr>
      <w:spacing w:line="240" w:lineRule="auto"/>
    </w:pPr>
    <w:rPr>
      <w:sz w:val="18"/>
      <w:szCs w:val="18"/>
    </w:rPr>
  </w:style>
  <w:style w:type="character" w:customStyle="1" w:styleId="Char1">
    <w:name w:val="批注框文本 Char"/>
    <w:basedOn w:val="a0"/>
    <w:link w:val="a6"/>
    <w:uiPriority w:val="99"/>
    <w:semiHidden/>
    <w:rsid w:val="002219DE"/>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15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杨晓涛</dc:creator>
  <cp:lastModifiedBy>石承刚</cp:lastModifiedBy>
  <cp:revision>4</cp:revision>
  <cp:lastPrinted>2020-10-10T07:19:00Z</cp:lastPrinted>
  <dcterms:created xsi:type="dcterms:W3CDTF">2020-10-19T08:00:00Z</dcterms:created>
  <dcterms:modified xsi:type="dcterms:W3CDTF">2020-10-21T05:57:00Z</dcterms:modified>
</cp:coreProperties>
</file>