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4" w:rsidRPr="00D043F4" w:rsidRDefault="00D043F4" w:rsidP="00D043F4">
      <w:pPr>
        <w:spacing w:line="300" w:lineRule="auto"/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28293B" w:rsidRPr="00D043F4" w:rsidRDefault="00A12220" w:rsidP="00D043F4">
      <w:pPr>
        <w:spacing w:line="30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12220">
        <w:rPr>
          <w:rFonts w:asciiTheme="majorEastAsia" w:eastAsiaTheme="majorEastAsia" w:hAnsiTheme="majorEastAsia" w:hint="eastAsia"/>
          <w:b/>
          <w:sz w:val="28"/>
          <w:szCs w:val="28"/>
        </w:rPr>
        <w:t>CNAS-TRL-XXX-2020《家具、人造板及木竹相关制品检测领域认可评审技术指南》</w:t>
      </w:r>
      <w:r w:rsidR="00D043F4" w:rsidRPr="00D043F4">
        <w:rPr>
          <w:rFonts w:asciiTheme="majorEastAsia" w:eastAsiaTheme="majorEastAsia" w:hAnsiTheme="majorEastAsia" w:hint="eastAsia"/>
          <w:b/>
          <w:sz w:val="28"/>
          <w:szCs w:val="28"/>
        </w:rPr>
        <w:t>编制说明</w:t>
      </w:r>
    </w:p>
    <w:p w:rsidR="00D043F4" w:rsidRPr="00D043F4" w:rsidRDefault="00D043F4" w:rsidP="00D043F4">
      <w:pPr>
        <w:spacing w:line="300" w:lineRule="auto"/>
        <w:rPr>
          <w:rFonts w:ascii="宋体" w:eastAsia="宋体" w:hAnsi="宋体"/>
          <w:sz w:val="28"/>
          <w:szCs w:val="28"/>
        </w:rPr>
      </w:pPr>
    </w:p>
    <w:p w:rsidR="00D043F4" w:rsidRDefault="00D043F4" w:rsidP="00D043F4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043F4">
        <w:rPr>
          <w:rFonts w:asciiTheme="minorEastAsia" w:hAnsiTheme="minorEastAsia" w:hint="eastAsia"/>
          <w:sz w:val="24"/>
          <w:szCs w:val="24"/>
        </w:rPr>
        <w:t>国务院办公厅于2016年9月6日发布的《消费品标准和质量提升规划（2016-2020年）》中明确提出，“开展家具……等传统消费品智能化升级的综合标准化工作”，“针对家具……壁纸……等家居装饰装修产品，加快构建强制性国家标准体系，严格有毒有害物质、挥发性有机物限量要求，健全配套检测方法、检测设备、检测能力”，“进一步加大婴幼儿、少年儿童生活用品……标准化力度，严格……儿童家具……等儿童用品安全标准，严格儿童产品标识标注”。</w:t>
      </w:r>
    </w:p>
    <w:p w:rsidR="00D043F4" w:rsidRDefault="00D043F4" w:rsidP="00D043F4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Pr="00D043F4">
        <w:rPr>
          <w:rFonts w:asciiTheme="minorEastAsia" w:hAnsiTheme="minorEastAsia" w:hint="eastAsia"/>
          <w:sz w:val="24"/>
          <w:szCs w:val="24"/>
        </w:rPr>
        <w:t>上述背景下，家具、人造板及</w:t>
      </w:r>
      <w:r>
        <w:rPr>
          <w:rFonts w:asciiTheme="minorEastAsia" w:hAnsiTheme="minorEastAsia" w:hint="eastAsia"/>
          <w:sz w:val="24"/>
          <w:szCs w:val="24"/>
        </w:rPr>
        <w:t>木竹相关</w:t>
      </w:r>
      <w:r w:rsidRPr="00D043F4">
        <w:rPr>
          <w:rFonts w:asciiTheme="minorEastAsia" w:hAnsiTheme="minorEastAsia" w:hint="eastAsia"/>
          <w:sz w:val="24"/>
          <w:szCs w:val="24"/>
        </w:rPr>
        <w:t>制品的检测实验室认可得到较快发展。但CNAS</w:t>
      </w:r>
      <w:r>
        <w:rPr>
          <w:rFonts w:asciiTheme="minorEastAsia" w:hAnsiTheme="minorEastAsia" w:hint="eastAsia"/>
          <w:sz w:val="24"/>
          <w:szCs w:val="24"/>
        </w:rPr>
        <w:t>目前</w:t>
      </w:r>
      <w:r w:rsidRPr="00D043F4">
        <w:rPr>
          <w:rFonts w:asciiTheme="minorEastAsia" w:hAnsiTheme="minorEastAsia" w:hint="eastAsia"/>
          <w:sz w:val="24"/>
          <w:szCs w:val="24"/>
        </w:rPr>
        <w:t>在该检测领域的认可活动中尚无专门的认可规范类文件，进而直接导致如下问题的出现，如：因检测对象分类尺度不一，导致同一实验室的检测能力表，被不同的评审组不断拆分、合并；同一标准在部分实验室归入检测能力，在部分实验室又归入判定标准，甚至出现同一评审组</w:t>
      </w:r>
      <w:proofErr w:type="gramStart"/>
      <w:r w:rsidRPr="00D043F4">
        <w:rPr>
          <w:rFonts w:asciiTheme="minorEastAsia" w:hAnsiTheme="minorEastAsia" w:hint="eastAsia"/>
          <w:sz w:val="24"/>
          <w:szCs w:val="24"/>
        </w:rPr>
        <w:t>对某多地点</w:t>
      </w:r>
      <w:proofErr w:type="gramEnd"/>
      <w:r w:rsidRPr="00D043F4">
        <w:rPr>
          <w:rFonts w:asciiTheme="minorEastAsia" w:hAnsiTheme="minorEastAsia" w:hint="eastAsia"/>
          <w:sz w:val="24"/>
          <w:szCs w:val="24"/>
        </w:rPr>
        <w:t>实验室，在主地点将其归入检测能力，而在分地点却归入判定标准的案例；同一标准，在不同实验室展开子项目时，出现最少展开成三项，最多展开成几十项的案例；</w:t>
      </w:r>
      <w:r>
        <w:rPr>
          <w:rFonts w:asciiTheme="minorEastAsia" w:hAnsiTheme="minorEastAsia" w:hint="eastAsia"/>
          <w:sz w:val="24"/>
          <w:szCs w:val="24"/>
        </w:rPr>
        <w:t>同样的检测能力，在CNAS的不同部室适用的认可准则应用说明不一致</w:t>
      </w:r>
      <w:r w:rsidR="003F0099">
        <w:rPr>
          <w:rFonts w:asciiTheme="minorEastAsia" w:hAnsiTheme="minorEastAsia" w:hint="eastAsia"/>
          <w:sz w:val="24"/>
          <w:szCs w:val="24"/>
        </w:rPr>
        <w:t>；等。</w:t>
      </w:r>
    </w:p>
    <w:p w:rsidR="003F0099" w:rsidRDefault="00D043F4" w:rsidP="00D043F4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043F4">
        <w:rPr>
          <w:rFonts w:asciiTheme="minorEastAsia" w:hAnsiTheme="minorEastAsia" w:hint="eastAsia"/>
          <w:sz w:val="24"/>
          <w:szCs w:val="24"/>
        </w:rPr>
        <w:t>鉴于以上原因，</w:t>
      </w:r>
      <w:r w:rsidR="003F0099" w:rsidRPr="003F0099">
        <w:rPr>
          <w:rFonts w:asciiTheme="minorEastAsia" w:hAnsiTheme="minorEastAsia" w:hint="eastAsia"/>
          <w:sz w:val="24"/>
          <w:szCs w:val="24"/>
        </w:rPr>
        <w:t>CNAS通过设立科技研究项目，组织相关机构和专家共同对家具、人造板及木竹相关制品检测领域的认可评审关键技术进行系统研究，以进一步提高该领域的认可评审的一致性和标准应用的一致性，并在此基础上进一步统一评审尺度，提高认可质量，降低认可风险。</w:t>
      </w:r>
    </w:p>
    <w:p w:rsidR="00D043F4" w:rsidRPr="00D043F4" w:rsidRDefault="003F0099" w:rsidP="00D043F4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F0099">
        <w:rPr>
          <w:rFonts w:asciiTheme="minorEastAsia" w:hAnsiTheme="minorEastAsia" w:hint="eastAsia"/>
          <w:sz w:val="24"/>
          <w:szCs w:val="24"/>
        </w:rPr>
        <w:t>本</w:t>
      </w:r>
      <w:r w:rsidR="00A12220">
        <w:rPr>
          <w:rFonts w:asciiTheme="minorEastAsia" w:hAnsiTheme="minorEastAsia" w:hint="eastAsia"/>
          <w:sz w:val="24"/>
          <w:szCs w:val="24"/>
        </w:rPr>
        <w:t>技术报告</w:t>
      </w:r>
      <w:bookmarkStart w:id="0" w:name="_GoBack"/>
      <w:bookmarkEnd w:id="0"/>
      <w:r w:rsidRPr="003F0099">
        <w:rPr>
          <w:rFonts w:asciiTheme="minorEastAsia" w:hAnsiTheme="minorEastAsia" w:hint="eastAsia"/>
          <w:sz w:val="24"/>
          <w:szCs w:val="24"/>
        </w:rPr>
        <w:t>即是基于研究成果（项目编号：2018CNAS10）而制定。</w:t>
      </w:r>
    </w:p>
    <w:sectPr w:rsidR="00D043F4" w:rsidRPr="00D043F4" w:rsidSect="00D043F4">
      <w:pgSz w:w="11906" w:h="16838" w:code="9"/>
      <w:pgMar w:top="1440" w:right="1440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30"/>
    <w:rsid w:val="0028293B"/>
    <w:rsid w:val="003F0099"/>
    <w:rsid w:val="00837430"/>
    <w:rsid w:val="00A12220"/>
    <w:rsid w:val="00D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</dc:creator>
  <cp:keywords/>
  <dc:description/>
  <cp:lastModifiedBy>wenji</cp:lastModifiedBy>
  <cp:revision>3</cp:revision>
  <dcterms:created xsi:type="dcterms:W3CDTF">2020-08-27T04:54:00Z</dcterms:created>
  <dcterms:modified xsi:type="dcterms:W3CDTF">2020-08-27T05:07:00Z</dcterms:modified>
</cp:coreProperties>
</file>