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A2" w:rsidRDefault="00687FA2" w:rsidP="00C71008">
      <w:pPr>
        <w:adjustRightInd w:val="0"/>
        <w:snapToGrid w:val="0"/>
        <w:spacing w:line="360" w:lineRule="auto"/>
        <w:jc w:val="center"/>
        <w:rPr>
          <w:rFonts w:ascii="宋体" w:hAnsi="宋体" w:cs="黑体"/>
          <w:b/>
          <w:kern w:val="0"/>
          <w:sz w:val="32"/>
          <w:szCs w:val="32"/>
        </w:rPr>
      </w:pPr>
    </w:p>
    <w:p w:rsidR="00BD3F11" w:rsidRPr="00BD3F11" w:rsidRDefault="00BD3F11" w:rsidP="00C71008">
      <w:pPr>
        <w:adjustRightInd w:val="0"/>
        <w:snapToGrid w:val="0"/>
        <w:spacing w:line="360" w:lineRule="auto"/>
        <w:jc w:val="center"/>
        <w:rPr>
          <w:rFonts w:ascii="宋体" w:hAnsi="宋体" w:cs="黑体"/>
          <w:b/>
          <w:kern w:val="0"/>
          <w:sz w:val="32"/>
          <w:szCs w:val="32"/>
        </w:rPr>
      </w:pPr>
      <w:r w:rsidRPr="00BD3F11">
        <w:rPr>
          <w:rFonts w:ascii="宋体" w:hAnsi="宋体" w:cs="黑体" w:hint="eastAsia"/>
          <w:b/>
          <w:kern w:val="0"/>
          <w:sz w:val="32"/>
          <w:szCs w:val="32"/>
        </w:rPr>
        <w:t>CNAS-</w:t>
      </w:r>
      <w:r w:rsidR="00BC57F1">
        <w:rPr>
          <w:rFonts w:ascii="宋体" w:hAnsi="宋体" w:cs="黑体" w:hint="eastAsia"/>
          <w:b/>
          <w:kern w:val="0"/>
          <w:sz w:val="32"/>
          <w:szCs w:val="32"/>
        </w:rPr>
        <w:t>G</w:t>
      </w:r>
      <w:r w:rsidRPr="00BD3F11">
        <w:rPr>
          <w:rFonts w:ascii="宋体" w:hAnsi="宋体" w:cs="黑体" w:hint="eastAsia"/>
          <w:b/>
          <w:kern w:val="0"/>
          <w:sz w:val="32"/>
          <w:szCs w:val="32"/>
        </w:rPr>
        <w:t>LXX</w:t>
      </w:r>
      <w:r w:rsidR="00A83A10">
        <w:rPr>
          <w:rFonts w:ascii="宋体" w:hAnsi="宋体" w:cs="黑体" w:hint="eastAsia"/>
          <w:b/>
          <w:kern w:val="0"/>
          <w:sz w:val="32"/>
          <w:szCs w:val="32"/>
        </w:rPr>
        <w:t>X</w:t>
      </w:r>
      <w:r w:rsidRPr="00BD3F11">
        <w:rPr>
          <w:rFonts w:ascii="宋体" w:hAnsi="宋体" w:cs="黑体" w:hint="eastAsia"/>
          <w:b/>
          <w:kern w:val="0"/>
          <w:sz w:val="32"/>
          <w:szCs w:val="32"/>
        </w:rPr>
        <w:t>《</w:t>
      </w:r>
      <w:r w:rsidRPr="00BD3F11">
        <w:rPr>
          <w:rFonts w:eastAsia="黑体" w:hAnsi="黑体"/>
          <w:b/>
          <w:sz w:val="32"/>
          <w:szCs w:val="32"/>
        </w:rPr>
        <w:t>石油</w:t>
      </w:r>
      <w:r w:rsidR="00434617">
        <w:rPr>
          <w:rFonts w:eastAsia="黑体" w:hAnsi="黑体" w:hint="eastAsia"/>
          <w:b/>
          <w:sz w:val="32"/>
          <w:szCs w:val="32"/>
        </w:rPr>
        <w:t>石化</w:t>
      </w:r>
      <w:r w:rsidRPr="00BD3F11">
        <w:rPr>
          <w:rFonts w:eastAsia="黑体" w:hAnsi="黑体"/>
          <w:b/>
          <w:sz w:val="32"/>
          <w:szCs w:val="32"/>
        </w:rPr>
        <w:t>检测领域</w:t>
      </w:r>
      <w:r w:rsidR="00E17563">
        <w:rPr>
          <w:rFonts w:eastAsia="黑体" w:hAnsi="黑体" w:hint="eastAsia"/>
          <w:b/>
          <w:sz w:val="32"/>
          <w:szCs w:val="32"/>
        </w:rPr>
        <w:t>实验室</w:t>
      </w:r>
      <w:r w:rsidRPr="00BD3F11">
        <w:rPr>
          <w:rFonts w:eastAsia="黑体" w:hAnsi="黑体"/>
          <w:b/>
          <w:sz w:val="32"/>
          <w:szCs w:val="32"/>
        </w:rPr>
        <w:t>认可</w:t>
      </w:r>
      <w:r w:rsidR="009520B0">
        <w:rPr>
          <w:rFonts w:eastAsia="黑体" w:hAnsi="黑体" w:hint="eastAsia"/>
          <w:b/>
          <w:sz w:val="32"/>
          <w:szCs w:val="32"/>
        </w:rPr>
        <w:t>技术指南</w:t>
      </w:r>
      <w:r w:rsidRPr="00BD3F11">
        <w:rPr>
          <w:rFonts w:ascii="宋体" w:hAnsi="宋体" w:cs="黑体" w:hint="eastAsia"/>
          <w:b/>
          <w:kern w:val="0"/>
          <w:sz w:val="32"/>
          <w:szCs w:val="32"/>
        </w:rPr>
        <w:t>》（征求意见稿）编制说明</w:t>
      </w:r>
    </w:p>
    <w:p w:rsidR="00BD3F11" w:rsidRPr="00ED00AA" w:rsidRDefault="00BD3F11" w:rsidP="00C71008">
      <w:pPr>
        <w:pStyle w:val="Default"/>
        <w:snapToGrid w:val="0"/>
        <w:spacing w:line="360" w:lineRule="auto"/>
        <w:jc w:val="both"/>
        <w:rPr>
          <w:rFonts w:ascii="宋体" w:hAnsi="宋体" w:cs="Times New Roman"/>
          <w:b/>
          <w:kern w:val="2"/>
        </w:rPr>
      </w:pPr>
    </w:p>
    <w:p w:rsidR="00BD3F11" w:rsidRPr="00BD3F11" w:rsidRDefault="00BD3F11" w:rsidP="00C71008">
      <w:pPr>
        <w:pStyle w:val="Default"/>
        <w:snapToGrid w:val="0"/>
        <w:spacing w:line="360" w:lineRule="auto"/>
        <w:jc w:val="both"/>
        <w:rPr>
          <w:rFonts w:ascii="宋体" w:hAnsi="宋体" w:cs="Times New Roman"/>
          <w:b/>
          <w:kern w:val="2"/>
        </w:rPr>
      </w:pPr>
      <w:r w:rsidRPr="00BD3F11">
        <w:rPr>
          <w:rFonts w:ascii="宋体" w:hAnsi="宋体" w:cs="Times New Roman" w:hint="eastAsia"/>
          <w:b/>
          <w:kern w:val="2"/>
        </w:rPr>
        <w:t>一、任务来源</w:t>
      </w:r>
    </w:p>
    <w:p w:rsidR="00BD3F11" w:rsidRPr="00BD3F11" w:rsidRDefault="00BD3F11" w:rsidP="00C71008">
      <w:pPr>
        <w:adjustRightInd w:val="0"/>
        <w:snapToGrid w:val="0"/>
        <w:spacing w:line="360" w:lineRule="auto"/>
        <w:ind w:firstLineChars="200" w:firstLine="480"/>
        <w:jc w:val="left"/>
        <w:rPr>
          <w:rFonts w:ascii="宋体" w:hAnsi="宋体"/>
          <w:color w:val="000000"/>
          <w:sz w:val="24"/>
        </w:rPr>
      </w:pPr>
      <w:proofErr w:type="gramStart"/>
      <w:r w:rsidRPr="00BD3F11">
        <w:rPr>
          <w:rFonts w:ascii="宋体" w:hAnsi="宋体" w:hint="eastAsia"/>
          <w:sz w:val="24"/>
        </w:rPr>
        <w:t>本任务</w:t>
      </w:r>
      <w:proofErr w:type="gramEnd"/>
      <w:r w:rsidRPr="00BD3F11">
        <w:rPr>
          <w:rFonts w:ascii="宋体" w:hAnsi="宋体" w:hint="eastAsia"/>
          <w:sz w:val="24"/>
        </w:rPr>
        <w:t>源自</w:t>
      </w:r>
      <w:r w:rsidRPr="00BD3F11">
        <w:rPr>
          <w:rFonts w:ascii="宋体" w:hAnsi="宋体" w:hint="eastAsia"/>
          <w:color w:val="000000"/>
          <w:sz w:val="24"/>
        </w:rPr>
        <w:t>中国合格评定国家认可</w:t>
      </w:r>
      <w:r w:rsidRPr="00BD3F11">
        <w:rPr>
          <w:rFonts w:ascii="宋体" w:hAnsi="宋体" w:hint="eastAsia"/>
          <w:sz w:val="24"/>
        </w:rPr>
        <w:t>中心课题</w:t>
      </w:r>
      <w:r w:rsidR="00E20B4A">
        <w:rPr>
          <w:rFonts w:ascii="宋体" w:hAnsi="宋体" w:hint="eastAsia"/>
          <w:sz w:val="24"/>
        </w:rPr>
        <w:t xml:space="preserve"> </w:t>
      </w:r>
      <w:r w:rsidR="00BC57F1">
        <w:rPr>
          <w:rFonts w:ascii="宋体" w:hAnsi="宋体" w:hint="eastAsia"/>
          <w:sz w:val="24"/>
        </w:rPr>
        <w:t>“</w:t>
      </w:r>
      <w:r w:rsidRPr="00BD3F11">
        <w:rPr>
          <w:rFonts w:ascii="宋体" w:hAnsi="宋体" w:hint="eastAsia"/>
          <w:sz w:val="24"/>
        </w:rPr>
        <w:t>石油石化领域认可关键技术研究”（2015CNAS06）</w:t>
      </w:r>
      <w:r w:rsidR="00E20B4A">
        <w:rPr>
          <w:rFonts w:ascii="宋体" w:hAnsi="宋体" w:hint="eastAsia"/>
          <w:sz w:val="24"/>
        </w:rPr>
        <w:t>，也是石油石化专业委员会2017年主要工作</w:t>
      </w:r>
      <w:r w:rsidR="00460B32">
        <w:rPr>
          <w:rFonts w:ascii="宋体" w:hAnsi="宋体" w:hint="eastAsia"/>
          <w:sz w:val="24"/>
        </w:rPr>
        <w:t>内容</w:t>
      </w:r>
      <w:r w:rsidR="00E20B4A">
        <w:rPr>
          <w:rFonts w:ascii="宋体" w:hAnsi="宋体" w:hint="eastAsia"/>
          <w:sz w:val="24"/>
        </w:rPr>
        <w:t>之一。</w:t>
      </w:r>
    </w:p>
    <w:p w:rsidR="0099070E" w:rsidRDefault="009520B0" w:rsidP="0099070E">
      <w:pPr>
        <w:pStyle w:val="Default"/>
        <w:snapToGrid w:val="0"/>
        <w:spacing w:line="360" w:lineRule="auto"/>
        <w:ind w:firstLineChars="200" w:firstLine="480"/>
        <w:jc w:val="both"/>
        <w:rPr>
          <w:rFonts w:ascii="宋体" w:hAnsi="宋体"/>
        </w:rPr>
      </w:pPr>
      <w:r>
        <w:rPr>
          <w:rFonts w:ascii="宋体" w:hAnsi="宋体" w:hint="eastAsia"/>
        </w:rPr>
        <w:t>目前没有规范文件</w:t>
      </w:r>
      <w:r w:rsidR="008E70F9">
        <w:rPr>
          <w:rFonts w:ascii="宋体" w:hAnsi="宋体" w:hint="eastAsia"/>
        </w:rPr>
        <w:t>对</w:t>
      </w:r>
      <w:r>
        <w:rPr>
          <w:rFonts w:ascii="宋体" w:hAnsi="宋体" w:hint="eastAsia"/>
        </w:rPr>
        <w:t>石油石化检测领域实验室的认可要求进行明确，从以往的认可实践来看，石油石化领域实验室和评审员对</w:t>
      </w:r>
      <w:r w:rsidRPr="0021726A">
        <w:rPr>
          <w:rFonts w:ascii="宋体" w:hAnsi="宋体"/>
        </w:rPr>
        <w:t>CNAS-CL01-A002</w:t>
      </w:r>
      <w:r w:rsidR="00D221A7" w:rsidRPr="00F816C4">
        <w:rPr>
          <w:rFonts w:asciiTheme="minorEastAsia" w:eastAsiaTheme="minorEastAsia" w:hAnsiTheme="minorEastAsia" w:hint="eastAsia"/>
        </w:rPr>
        <w:t>《检测和校准实验室能</w:t>
      </w:r>
      <w:r w:rsidR="00D221A7" w:rsidRPr="00170B8E">
        <w:rPr>
          <w:rFonts w:hint="eastAsia"/>
        </w:rPr>
        <w:t>力认可准则在化学检测领域的应用说明》</w:t>
      </w:r>
      <w:r>
        <w:rPr>
          <w:rFonts w:ascii="宋体" w:hAnsi="宋体" w:hint="eastAsia"/>
        </w:rPr>
        <w:t>在该领域的适用情况判定不一</w:t>
      </w:r>
      <w:r>
        <w:rPr>
          <w:rFonts w:ascii="宋体" w:hAnsi="宋体" w:hint="eastAsia"/>
          <w:bCs/>
        </w:rPr>
        <w:t>；对该领域</w:t>
      </w:r>
      <w:r w:rsidRPr="005E5309">
        <w:rPr>
          <w:rFonts w:ascii="宋体" w:hAnsi="宋体" w:hint="eastAsia"/>
          <w:bCs/>
        </w:rPr>
        <w:t>人员</w:t>
      </w:r>
      <w:r>
        <w:rPr>
          <w:rFonts w:ascii="宋体" w:hAnsi="宋体" w:hint="eastAsia"/>
          <w:bCs/>
        </w:rPr>
        <w:t>、环境、设备等</w:t>
      </w:r>
      <w:r w:rsidRPr="005E5309">
        <w:rPr>
          <w:rFonts w:ascii="宋体" w:hAnsi="宋体" w:hint="eastAsia"/>
          <w:bCs/>
        </w:rPr>
        <w:t>要求</w:t>
      </w:r>
      <w:r>
        <w:rPr>
          <w:rFonts w:ascii="宋体" w:hAnsi="宋体" w:hint="eastAsia"/>
          <w:bCs/>
        </w:rPr>
        <w:t>把握不一；</w:t>
      </w:r>
      <w:r w:rsidRPr="005E5309">
        <w:rPr>
          <w:rFonts w:ascii="宋体" w:hAnsi="宋体" w:hint="eastAsia"/>
          <w:bCs/>
        </w:rPr>
        <w:t>专用设备</w:t>
      </w:r>
      <w:r>
        <w:rPr>
          <w:rFonts w:ascii="宋体" w:hAnsi="宋体" w:hint="eastAsia"/>
          <w:bCs/>
        </w:rPr>
        <w:t>和自动设备存在无法溯源等</w:t>
      </w:r>
      <w:r>
        <w:rPr>
          <w:rFonts w:ascii="宋体" w:hAnsi="宋体" w:hint="eastAsia"/>
        </w:rPr>
        <w:t>问题。</w:t>
      </w:r>
      <w:r w:rsidRPr="0076585A">
        <w:rPr>
          <w:rFonts w:ascii="宋体" w:hAnsi="宋体" w:hint="eastAsia"/>
        </w:rPr>
        <w:t>所以有必要</w:t>
      </w:r>
      <w:r>
        <w:rPr>
          <w:rFonts w:ascii="宋体" w:hAnsi="宋体" w:hint="eastAsia"/>
        </w:rPr>
        <w:t>结合石油石化领域特点，对相关实验室的</w:t>
      </w:r>
      <w:r w:rsidRPr="00DD619A">
        <w:rPr>
          <w:rFonts w:ascii="宋体" w:hAnsi="宋体" w:hint="eastAsia"/>
        </w:rPr>
        <w:t>人员、</w:t>
      </w:r>
      <w:r>
        <w:rPr>
          <w:rFonts w:ascii="宋体" w:hAnsi="宋体" w:hint="eastAsia"/>
        </w:rPr>
        <w:t>环境设施、</w:t>
      </w:r>
      <w:r w:rsidRPr="00DD619A">
        <w:rPr>
          <w:rFonts w:ascii="宋体" w:hAnsi="宋体" w:hint="eastAsia"/>
        </w:rPr>
        <w:t>设备、检测方法、</w:t>
      </w:r>
      <w:r>
        <w:rPr>
          <w:rFonts w:ascii="宋体" w:hAnsi="宋体" w:hint="eastAsia"/>
        </w:rPr>
        <w:t>量值溯源、质量控制等方面认可要求进行明确和提供指导</w:t>
      </w:r>
      <w:r w:rsidRPr="00DD619A">
        <w:rPr>
          <w:rFonts w:ascii="宋体" w:hAnsi="宋体" w:hint="eastAsia"/>
        </w:rPr>
        <w:t>，从而提升实验室管理水平和技术能力，确保认可有效性和一致性</w:t>
      </w:r>
      <w:r w:rsidRPr="0076585A">
        <w:rPr>
          <w:rFonts w:ascii="宋体" w:hAnsi="宋体" w:hint="eastAsia"/>
        </w:rPr>
        <w:t>。</w:t>
      </w:r>
    </w:p>
    <w:p w:rsidR="00E20B4A" w:rsidRPr="00F816C4" w:rsidRDefault="009520B0" w:rsidP="00F816C4">
      <w:pPr>
        <w:pStyle w:val="a6"/>
        <w:spacing w:line="360" w:lineRule="auto"/>
        <w:ind w:firstLine="480"/>
        <w:rPr>
          <w:rFonts w:hAnsi="宋体"/>
          <w:color w:val="000000"/>
          <w:sz w:val="24"/>
          <w:szCs w:val="24"/>
        </w:rPr>
      </w:pPr>
      <w:r w:rsidRPr="00F816C4">
        <w:rPr>
          <w:rFonts w:hAnsi="宋体" w:hint="eastAsia"/>
          <w:color w:val="000000"/>
          <w:sz w:val="24"/>
          <w:szCs w:val="24"/>
        </w:rPr>
        <w:t>本文件是结合对七</w:t>
      </w:r>
      <w:r w:rsidR="00BD3F11" w:rsidRPr="00F816C4">
        <w:rPr>
          <w:rFonts w:hAnsi="宋体" w:hint="eastAsia"/>
          <w:color w:val="000000"/>
          <w:sz w:val="24"/>
          <w:szCs w:val="24"/>
        </w:rPr>
        <w:t>十多家</w:t>
      </w:r>
      <w:r w:rsidRPr="00F816C4">
        <w:rPr>
          <w:rFonts w:hAnsi="宋体" w:hint="eastAsia"/>
          <w:color w:val="000000"/>
          <w:sz w:val="24"/>
          <w:szCs w:val="24"/>
        </w:rPr>
        <w:t>行业</w:t>
      </w:r>
      <w:r w:rsidR="00BD3F11" w:rsidRPr="00F816C4">
        <w:rPr>
          <w:rFonts w:hAnsi="宋体" w:hint="eastAsia"/>
          <w:color w:val="000000"/>
          <w:sz w:val="24"/>
          <w:szCs w:val="24"/>
        </w:rPr>
        <w:t>实验室</w:t>
      </w:r>
      <w:r w:rsidRPr="00F816C4">
        <w:rPr>
          <w:rFonts w:hAnsi="宋体" w:hint="eastAsia"/>
          <w:color w:val="000000"/>
          <w:sz w:val="24"/>
          <w:szCs w:val="24"/>
        </w:rPr>
        <w:t>及八十多位评审员</w:t>
      </w:r>
      <w:r w:rsidR="00BD3F11" w:rsidRPr="00F816C4">
        <w:rPr>
          <w:rFonts w:hAnsi="宋体" w:hint="eastAsia"/>
          <w:color w:val="000000"/>
          <w:sz w:val="24"/>
          <w:szCs w:val="24"/>
        </w:rPr>
        <w:t>调研情况，参考国际国内技术规范，结合CNAS现行文件要求，在同行专家中充分讨论、协调统一后编制。</w:t>
      </w:r>
      <w:r w:rsidR="00E20B4A" w:rsidRPr="00F816C4">
        <w:rPr>
          <w:rFonts w:hAnsi="宋体" w:hint="eastAsia"/>
          <w:color w:val="000000"/>
          <w:sz w:val="24"/>
          <w:szCs w:val="24"/>
        </w:rPr>
        <w:t>工作组于2017年10月完成本指南初稿，</w:t>
      </w:r>
      <w:r w:rsidR="00F816C4" w:rsidRPr="00F816C4">
        <w:rPr>
          <w:rFonts w:hAnsi="宋体" w:hint="eastAsia"/>
          <w:color w:val="000000"/>
          <w:sz w:val="24"/>
          <w:szCs w:val="24"/>
        </w:rPr>
        <w:t>后续</w:t>
      </w:r>
      <w:r w:rsidR="00D221A7">
        <w:rPr>
          <w:rFonts w:hAnsi="宋体" w:hint="eastAsia"/>
          <w:color w:val="000000"/>
          <w:sz w:val="24"/>
          <w:szCs w:val="24"/>
        </w:rPr>
        <w:t>又进行了多次修改，并完成此征求意见稿</w:t>
      </w:r>
      <w:r w:rsidR="00E20B4A" w:rsidRPr="00F816C4">
        <w:rPr>
          <w:rFonts w:hAnsi="宋体" w:hint="eastAsia"/>
          <w:color w:val="000000"/>
          <w:sz w:val="24"/>
          <w:szCs w:val="24"/>
        </w:rPr>
        <w:t>。</w:t>
      </w:r>
    </w:p>
    <w:p w:rsidR="009520B0" w:rsidRPr="00D221A7" w:rsidRDefault="009520B0" w:rsidP="009520B0">
      <w:pPr>
        <w:pStyle w:val="Default"/>
        <w:snapToGrid w:val="0"/>
        <w:spacing w:line="360" w:lineRule="auto"/>
        <w:ind w:firstLineChars="200" w:firstLine="480"/>
        <w:jc w:val="both"/>
        <w:rPr>
          <w:rFonts w:ascii="宋体" w:hAnsi="宋体" w:cs="Times New Roman"/>
          <w:kern w:val="2"/>
        </w:rPr>
      </w:pPr>
    </w:p>
    <w:p w:rsidR="00BD3F11" w:rsidRDefault="00BD3F11" w:rsidP="00C71008">
      <w:pPr>
        <w:pStyle w:val="Default"/>
        <w:snapToGrid w:val="0"/>
        <w:spacing w:line="360" w:lineRule="auto"/>
        <w:jc w:val="both"/>
        <w:rPr>
          <w:rFonts w:ascii="宋体" w:hAnsi="宋体" w:cs="Times New Roman"/>
          <w:b/>
          <w:kern w:val="2"/>
        </w:rPr>
      </w:pPr>
      <w:r>
        <w:rPr>
          <w:rFonts w:ascii="宋体" w:hAnsi="宋体" w:cs="Times New Roman" w:hint="eastAsia"/>
          <w:b/>
          <w:kern w:val="2"/>
        </w:rPr>
        <w:t>二</w:t>
      </w:r>
      <w:r w:rsidRPr="00F125BE">
        <w:rPr>
          <w:rFonts w:ascii="宋体" w:hAnsi="宋体" w:cs="Times New Roman" w:hint="eastAsia"/>
          <w:b/>
          <w:kern w:val="2"/>
        </w:rPr>
        <w:t>、</w:t>
      </w:r>
      <w:r>
        <w:rPr>
          <w:rFonts w:ascii="宋体" w:hAnsi="宋体" w:cs="Times New Roman" w:hint="eastAsia"/>
          <w:b/>
          <w:kern w:val="2"/>
        </w:rPr>
        <w:t>编制原则和编制内容说明</w:t>
      </w:r>
    </w:p>
    <w:p w:rsidR="00A21E98" w:rsidRDefault="008E70F9" w:rsidP="00A21E98">
      <w:pPr>
        <w:pStyle w:val="Default"/>
        <w:numPr>
          <w:ilvl w:val="0"/>
          <w:numId w:val="1"/>
        </w:numPr>
        <w:snapToGrid w:val="0"/>
        <w:spacing w:line="360" w:lineRule="auto"/>
        <w:jc w:val="both"/>
        <w:rPr>
          <w:rFonts w:ascii="宋体" w:hAnsi="宋体"/>
        </w:rPr>
      </w:pPr>
      <w:r w:rsidRPr="00F816C4">
        <w:rPr>
          <w:rFonts w:ascii="宋体" w:hAnsi="宋体"/>
        </w:rPr>
        <w:t>本指南是CNAS根据</w:t>
      </w:r>
      <w:r w:rsidRPr="00F816C4">
        <w:rPr>
          <w:rFonts w:ascii="宋体" w:hAnsi="宋体" w:hint="eastAsia"/>
        </w:rPr>
        <w:t>石油石化</w:t>
      </w:r>
      <w:r w:rsidRPr="00F816C4">
        <w:rPr>
          <w:rFonts w:ascii="宋体" w:hAnsi="宋体"/>
        </w:rPr>
        <w:t>检测</w:t>
      </w:r>
      <w:r w:rsidRPr="00F816C4">
        <w:rPr>
          <w:rFonts w:ascii="宋体" w:hAnsi="宋体" w:hint="eastAsia"/>
        </w:rPr>
        <w:t>领域</w:t>
      </w:r>
      <w:r w:rsidRPr="00F816C4">
        <w:rPr>
          <w:rFonts w:ascii="宋体" w:hAnsi="宋体"/>
        </w:rPr>
        <w:t>实验室的特点对CNAS-CL01：2018</w:t>
      </w:r>
      <w:r w:rsidRPr="00170B8E">
        <w:t>《检</w:t>
      </w:r>
      <w:r w:rsidRPr="00F816C4">
        <w:rPr>
          <w:rFonts w:asciiTheme="minorEastAsia" w:eastAsiaTheme="minorEastAsia" w:hAnsiTheme="minorEastAsia"/>
        </w:rPr>
        <w:t>测和校准实验室能力认可准则》</w:t>
      </w:r>
      <w:r w:rsidRPr="00F816C4">
        <w:rPr>
          <w:rFonts w:asciiTheme="minorEastAsia" w:eastAsiaTheme="minorEastAsia" w:hAnsiTheme="minorEastAsia" w:hint="eastAsia"/>
        </w:rPr>
        <w:t>和CNAS-CL01-A002《检测和校准实验室能</w:t>
      </w:r>
      <w:r w:rsidRPr="00170B8E">
        <w:rPr>
          <w:rFonts w:hint="eastAsia"/>
        </w:rPr>
        <w:t>力认可准则在化学检测领域的应用说明》</w:t>
      </w:r>
      <w:r w:rsidRPr="00170B8E">
        <w:t>所作的解释和说明，</w:t>
      </w:r>
      <w:r>
        <w:rPr>
          <w:rFonts w:hint="eastAsia"/>
        </w:rPr>
        <w:t>明确</w:t>
      </w:r>
      <w:r w:rsidR="00A21E98">
        <w:rPr>
          <w:rFonts w:ascii="宋体" w:hAnsi="宋体" w:hint="eastAsia"/>
        </w:rPr>
        <w:t>了石油石化检测领域有关人员、设施环境、设备等认可要求</w:t>
      </w:r>
      <w:r w:rsidR="00DA29DB">
        <w:rPr>
          <w:rFonts w:ascii="宋体" w:hAnsi="宋体" w:hint="eastAsia"/>
        </w:rPr>
        <w:t>。</w:t>
      </w:r>
    </w:p>
    <w:p w:rsidR="00A21E98" w:rsidRPr="008E70F9" w:rsidRDefault="008E70F9" w:rsidP="00A21E98">
      <w:pPr>
        <w:pStyle w:val="Default"/>
        <w:numPr>
          <w:ilvl w:val="0"/>
          <w:numId w:val="1"/>
        </w:numPr>
        <w:snapToGrid w:val="0"/>
        <w:spacing w:line="360" w:lineRule="auto"/>
        <w:jc w:val="both"/>
        <w:rPr>
          <w:rFonts w:ascii="宋体" w:hAnsi="宋体"/>
        </w:rPr>
      </w:pPr>
      <w:r>
        <w:rPr>
          <w:rFonts w:ascii="宋体" w:hAnsi="宋体" w:hint="eastAsia"/>
        </w:rPr>
        <w:t>本指南的技术关键点主要包括：</w:t>
      </w:r>
      <w:r w:rsidR="00A21E98" w:rsidRPr="008E70F9">
        <w:rPr>
          <w:rFonts w:ascii="宋体" w:hAnsi="宋体" w:hint="eastAsia"/>
        </w:rPr>
        <w:t>从检测过程及分析手段等角度明确了</w:t>
      </w:r>
      <w:r w:rsidR="00BC57F1" w:rsidRPr="008E70F9">
        <w:rPr>
          <w:rFonts w:ascii="Times New Roman" w:hAnsi="Times New Roman" w:cs="Times New Roman"/>
        </w:rPr>
        <w:t>CNAS-CL01-A002</w:t>
      </w:r>
      <w:r w:rsidR="00A21E98" w:rsidRPr="008E70F9">
        <w:rPr>
          <w:rFonts w:ascii="宋体" w:hAnsi="宋体" w:hint="eastAsia"/>
        </w:rPr>
        <w:t>在石油石化领域的适用情况；明确了</w:t>
      </w:r>
      <w:r w:rsidR="0075163C" w:rsidRPr="008E70F9">
        <w:rPr>
          <w:rFonts w:ascii="宋体" w:hAnsi="宋体" w:hint="eastAsia"/>
        </w:rPr>
        <w:t>方法确认以及</w:t>
      </w:r>
      <w:r w:rsidR="00A21E98" w:rsidRPr="008E70F9">
        <w:rPr>
          <w:rFonts w:ascii="宋体" w:hAnsi="宋体" w:hint="eastAsia"/>
        </w:rPr>
        <w:t>企业标准</w:t>
      </w:r>
      <w:r w:rsidR="0075163C" w:rsidRPr="008E70F9">
        <w:rPr>
          <w:rFonts w:ascii="宋体" w:hAnsi="宋体" w:hint="eastAsia"/>
        </w:rPr>
        <w:t>认可的有关</w:t>
      </w:r>
      <w:r w:rsidR="00A21E98" w:rsidRPr="008E70F9">
        <w:rPr>
          <w:rFonts w:ascii="宋体" w:hAnsi="宋体" w:hint="eastAsia"/>
        </w:rPr>
        <w:t>要求</w:t>
      </w:r>
      <w:r w:rsidRPr="008E70F9">
        <w:rPr>
          <w:rFonts w:ascii="宋体" w:hAnsi="宋体" w:hint="eastAsia"/>
        </w:rPr>
        <w:t>；</w:t>
      </w:r>
      <w:r w:rsidR="00BC57F1" w:rsidRPr="008E70F9">
        <w:rPr>
          <w:rFonts w:ascii="宋体" w:hAnsi="宋体" w:hint="eastAsia"/>
        </w:rPr>
        <w:t>对专用设备</w:t>
      </w:r>
      <w:r w:rsidR="009576AE" w:rsidRPr="008E70F9">
        <w:rPr>
          <w:rFonts w:ascii="宋体" w:hAnsi="宋体" w:hint="eastAsia"/>
        </w:rPr>
        <w:t>、</w:t>
      </w:r>
      <w:r w:rsidR="00BC57F1" w:rsidRPr="008E70F9">
        <w:rPr>
          <w:rFonts w:ascii="宋体" w:hAnsi="宋体" w:hint="eastAsia"/>
        </w:rPr>
        <w:t>寻求不到外部校准的设备</w:t>
      </w:r>
      <w:r w:rsidR="009576AE" w:rsidRPr="008E70F9">
        <w:rPr>
          <w:rFonts w:ascii="宋体" w:hAnsi="宋体" w:hint="eastAsia"/>
        </w:rPr>
        <w:t>等</w:t>
      </w:r>
      <w:r w:rsidR="00DA29DB">
        <w:rPr>
          <w:rFonts w:ascii="宋体" w:hAnsi="宋体" w:hint="eastAsia"/>
        </w:rPr>
        <w:t>提供溯源与核查方面建议</w:t>
      </w:r>
      <w:r w:rsidR="00A21E98" w:rsidRPr="008E70F9">
        <w:rPr>
          <w:rFonts w:ascii="宋体" w:hAnsi="宋体" w:hint="eastAsia"/>
        </w:rPr>
        <w:t>；</w:t>
      </w:r>
      <w:r w:rsidR="0075163C" w:rsidRPr="008E70F9">
        <w:rPr>
          <w:rFonts w:ascii="宋体" w:hAnsi="宋体" w:hint="eastAsia"/>
        </w:rPr>
        <w:t>指</w:t>
      </w:r>
      <w:r w:rsidR="00BC57F1" w:rsidRPr="008E70F9">
        <w:rPr>
          <w:rFonts w:ascii="宋体" w:hAnsi="宋体" w:hint="eastAsia"/>
        </w:rPr>
        <w:t>出</w:t>
      </w:r>
      <w:r>
        <w:rPr>
          <w:rFonts w:ascii="宋体" w:hAnsi="宋体" w:hint="eastAsia"/>
        </w:rPr>
        <w:t>了</w:t>
      </w:r>
      <w:r w:rsidR="0075163C" w:rsidRPr="008E70F9">
        <w:rPr>
          <w:rFonts w:ascii="宋体" w:hAnsi="宋体" w:hint="eastAsia"/>
        </w:rPr>
        <w:t>质量控制</w:t>
      </w:r>
      <w:r w:rsidR="00BC57F1" w:rsidRPr="008E70F9">
        <w:rPr>
          <w:rFonts w:ascii="宋体" w:hAnsi="宋体" w:hint="eastAsia"/>
        </w:rPr>
        <w:t>的关注点，并对部分特殊项目</w:t>
      </w:r>
      <w:r w:rsidR="00DA29DB">
        <w:rPr>
          <w:rFonts w:ascii="宋体" w:hAnsi="宋体" w:hint="eastAsia"/>
        </w:rPr>
        <w:t>（如由于</w:t>
      </w:r>
      <w:r>
        <w:rPr>
          <w:rFonts w:ascii="宋体" w:hAnsi="宋体" w:hint="eastAsia"/>
        </w:rPr>
        <w:t>样品均匀性或标样稳定性</w:t>
      </w:r>
      <w:r w:rsidR="00DA29DB">
        <w:rPr>
          <w:rFonts w:ascii="宋体" w:hAnsi="宋体" w:hint="eastAsia"/>
        </w:rPr>
        <w:t>，项目检测</w:t>
      </w:r>
      <w:r>
        <w:rPr>
          <w:rFonts w:ascii="宋体" w:hAnsi="宋体" w:hint="eastAsia"/>
        </w:rPr>
        <w:t>无法</w:t>
      </w:r>
      <w:r w:rsidR="00DA29DB">
        <w:rPr>
          <w:rFonts w:ascii="宋体" w:hAnsi="宋体" w:hint="eastAsia"/>
        </w:rPr>
        <w:t>开展能力验证甚至外部比对时）</w:t>
      </w:r>
      <w:r w:rsidR="00BC57F1" w:rsidRPr="008E70F9">
        <w:rPr>
          <w:rFonts w:ascii="宋体" w:hAnsi="宋体" w:hint="eastAsia"/>
        </w:rPr>
        <w:t>提供可行</w:t>
      </w:r>
      <w:r w:rsidR="00BC57F1" w:rsidRPr="008E70F9">
        <w:rPr>
          <w:rFonts w:ascii="宋体" w:hAnsi="宋体" w:hint="eastAsia"/>
        </w:rPr>
        <w:lastRenderedPageBreak/>
        <w:t>的</w:t>
      </w:r>
      <w:r w:rsidR="00A21E98" w:rsidRPr="008E70F9">
        <w:rPr>
          <w:rFonts w:ascii="宋体" w:hAnsi="宋体" w:hint="eastAsia"/>
        </w:rPr>
        <w:t>质控</w:t>
      </w:r>
      <w:r w:rsidR="00BC57F1" w:rsidRPr="008E70F9">
        <w:rPr>
          <w:rFonts w:ascii="宋体" w:hAnsi="宋体" w:hint="eastAsia"/>
        </w:rPr>
        <w:t>建议</w:t>
      </w:r>
      <w:r w:rsidR="00A21E98" w:rsidRPr="008E70F9">
        <w:rPr>
          <w:rFonts w:ascii="宋体" w:hAnsi="宋体" w:hint="eastAsia"/>
        </w:rPr>
        <w:t>。</w:t>
      </w:r>
    </w:p>
    <w:p w:rsidR="0075163C" w:rsidRDefault="0075163C" w:rsidP="0075163C">
      <w:pPr>
        <w:pStyle w:val="Default"/>
        <w:numPr>
          <w:ilvl w:val="0"/>
          <w:numId w:val="1"/>
        </w:numPr>
        <w:snapToGrid w:val="0"/>
        <w:spacing w:line="360" w:lineRule="auto"/>
        <w:jc w:val="both"/>
        <w:rPr>
          <w:rFonts w:ascii="宋体" w:hAnsi="宋体"/>
        </w:rPr>
      </w:pPr>
      <w:r>
        <w:rPr>
          <w:rFonts w:ascii="宋体" w:hAnsi="宋体" w:hint="eastAsia"/>
        </w:rPr>
        <w:t>编制了附录A，结合实例，从检测对象，操作方法、仪器配置及标准样品等角度指导实验室对实际检测与标准方法规定不一致情况进行识别和处理</w:t>
      </w:r>
      <w:r w:rsidR="00DA29DB" w:rsidRPr="008E70F9">
        <w:rPr>
          <w:rFonts w:ascii="宋体" w:hAnsi="宋体" w:hint="eastAsia"/>
        </w:rPr>
        <w:t>。</w:t>
      </w:r>
    </w:p>
    <w:p w:rsidR="0075163C" w:rsidRPr="00DA29DB" w:rsidRDefault="0075163C" w:rsidP="0075163C">
      <w:pPr>
        <w:pStyle w:val="Default"/>
        <w:numPr>
          <w:ilvl w:val="0"/>
          <w:numId w:val="1"/>
        </w:numPr>
        <w:snapToGrid w:val="0"/>
        <w:spacing w:line="360" w:lineRule="auto"/>
        <w:jc w:val="both"/>
        <w:rPr>
          <w:rFonts w:ascii="宋体" w:hAnsi="宋体"/>
        </w:rPr>
      </w:pPr>
      <w:r w:rsidRPr="00DA29DB">
        <w:rPr>
          <w:rFonts w:ascii="宋体" w:hAnsi="宋体" w:hint="eastAsia"/>
        </w:rPr>
        <w:t>编制了附</w:t>
      </w:r>
      <w:r w:rsidR="005C7973">
        <w:rPr>
          <w:rFonts w:ascii="宋体" w:hAnsi="宋体" w:hint="eastAsia"/>
        </w:rPr>
        <w:t>录B</w:t>
      </w:r>
      <w:r w:rsidR="00DA29DB">
        <w:rPr>
          <w:rFonts w:ascii="宋体" w:hAnsi="宋体" w:hint="eastAsia"/>
        </w:rPr>
        <w:t>，</w:t>
      </w:r>
      <w:r w:rsidRPr="00DA29DB">
        <w:rPr>
          <w:rFonts w:ascii="宋体" w:hAnsi="宋体" w:hint="eastAsia"/>
        </w:rPr>
        <w:t>提供</w:t>
      </w:r>
      <w:r w:rsidR="00BC57F1" w:rsidRPr="00DA29DB">
        <w:rPr>
          <w:rFonts w:ascii="宋体" w:hAnsi="宋体" w:hint="eastAsia"/>
        </w:rPr>
        <w:t>了</w:t>
      </w:r>
      <w:r w:rsidRPr="00DA29DB">
        <w:rPr>
          <w:rFonts w:ascii="宋体" w:hAnsi="宋体" w:hint="eastAsia"/>
        </w:rPr>
        <w:t>石油石化检测领域典型设备的计量标准一览表，供实验室</w:t>
      </w:r>
      <w:r w:rsidR="00DA29DB">
        <w:rPr>
          <w:rFonts w:ascii="宋体" w:hAnsi="宋体" w:hint="eastAsia"/>
        </w:rPr>
        <w:t>策划设备</w:t>
      </w:r>
      <w:r w:rsidRPr="00DA29DB">
        <w:rPr>
          <w:rFonts w:ascii="宋体" w:hAnsi="宋体" w:hint="eastAsia"/>
        </w:rPr>
        <w:t>计量溯源时参考</w:t>
      </w:r>
      <w:r w:rsidR="00DA29DB" w:rsidRPr="008E70F9">
        <w:rPr>
          <w:rFonts w:ascii="宋体" w:hAnsi="宋体" w:hint="eastAsia"/>
        </w:rPr>
        <w:t>。</w:t>
      </w:r>
    </w:p>
    <w:p w:rsidR="0075163C" w:rsidRPr="00DA29DB" w:rsidRDefault="0075163C" w:rsidP="0075163C">
      <w:pPr>
        <w:pStyle w:val="Default"/>
        <w:numPr>
          <w:ilvl w:val="0"/>
          <w:numId w:val="1"/>
        </w:numPr>
        <w:snapToGrid w:val="0"/>
        <w:spacing w:line="360" w:lineRule="auto"/>
        <w:jc w:val="both"/>
        <w:rPr>
          <w:rFonts w:ascii="宋体" w:hAnsi="宋体"/>
        </w:rPr>
      </w:pPr>
      <w:r w:rsidRPr="00DA29DB">
        <w:rPr>
          <w:rFonts w:ascii="宋体" w:hAnsi="宋体" w:hint="eastAsia"/>
        </w:rPr>
        <w:t>编制了附</w:t>
      </w:r>
      <w:r w:rsidR="005C7973">
        <w:rPr>
          <w:rFonts w:ascii="宋体" w:hAnsi="宋体" w:hint="eastAsia"/>
        </w:rPr>
        <w:t>录C</w:t>
      </w:r>
      <w:r w:rsidR="00DA29DB" w:rsidRPr="00DA29DB">
        <w:rPr>
          <w:rFonts w:ascii="Times New Roman" w:hAnsi="宋体" w:cs="Times New Roman"/>
        </w:rPr>
        <w:t>，</w:t>
      </w:r>
      <w:r w:rsidRPr="00DA29DB">
        <w:rPr>
          <w:rFonts w:ascii="宋体" w:hAnsi="宋体" w:hint="eastAsia"/>
        </w:rPr>
        <w:t>提供石油石化检测领域典型设备的计量溯源方式</w:t>
      </w:r>
      <w:r w:rsidR="005C7973">
        <w:rPr>
          <w:rFonts w:ascii="宋体" w:hAnsi="宋体" w:hint="eastAsia"/>
        </w:rPr>
        <w:t>及核查</w:t>
      </w:r>
      <w:r w:rsidRPr="00DA29DB">
        <w:rPr>
          <w:rFonts w:ascii="宋体" w:hAnsi="宋体" w:hint="eastAsia"/>
        </w:rPr>
        <w:t>建议。</w:t>
      </w:r>
    </w:p>
    <w:p w:rsidR="008A311C" w:rsidRPr="008A311C" w:rsidRDefault="008A311C" w:rsidP="00C71008">
      <w:pPr>
        <w:pStyle w:val="Default"/>
        <w:snapToGrid w:val="0"/>
        <w:spacing w:line="360" w:lineRule="auto"/>
        <w:jc w:val="both"/>
        <w:rPr>
          <w:rFonts w:ascii="宋体" w:hAnsi="宋体" w:cs="Times New Roman"/>
          <w:b/>
          <w:kern w:val="2"/>
        </w:rPr>
      </w:pPr>
    </w:p>
    <w:p w:rsidR="00BD3F11" w:rsidRPr="00F125BE" w:rsidRDefault="00BD3F11" w:rsidP="00C71008">
      <w:pPr>
        <w:adjustRightInd w:val="0"/>
        <w:snapToGrid w:val="0"/>
        <w:spacing w:line="360" w:lineRule="auto"/>
        <w:rPr>
          <w:b/>
          <w:sz w:val="24"/>
        </w:rPr>
      </w:pPr>
      <w:r w:rsidRPr="00F125BE">
        <w:rPr>
          <w:rFonts w:hint="eastAsia"/>
          <w:b/>
          <w:sz w:val="24"/>
        </w:rPr>
        <w:t>三、文件发布实施建议</w:t>
      </w:r>
    </w:p>
    <w:p w:rsidR="00BD3F11" w:rsidRPr="00F125BE" w:rsidRDefault="00BD3F11" w:rsidP="00C71008">
      <w:pPr>
        <w:adjustRightInd w:val="0"/>
        <w:snapToGrid w:val="0"/>
        <w:spacing w:line="360" w:lineRule="auto"/>
        <w:ind w:firstLine="480"/>
        <w:rPr>
          <w:sz w:val="24"/>
        </w:rPr>
      </w:pPr>
      <w:r>
        <w:rPr>
          <w:rFonts w:hint="eastAsia"/>
          <w:sz w:val="24"/>
        </w:rPr>
        <w:t>建议文件经过报批批准后立即发布实施</w:t>
      </w:r>
      <w:r w:rsidR="008E70F9">
        <w:rPr>
          <w:rFonts w:hint="eastAsia"/>
          <w:sz w:val="24"/>
        </w:rPr>
        <w:t>，对相关实验室及评审员开展培训</w:t>
      </w:r>
      <w:r>
        <w:rPr>
          <w:rFonts w:hint="eastAsia"/>
          <w:sz w:val="24"/>
        </w:rPr>
        <w:t>。</w:t>
      </w:r>
    </w:p>
    <w:p w:rsidR="00BD3F11" w:rsidRPr="00F125BE" w:rsidRDefault="00BD3F11" w:rsidP="00C71008">
      <w:pPr>
        <w:adjustRightInd w:val="0"/>
        <w:snapToGrid w:val="0"/>
        <w:spacing w:line="360" w:lineRule="auto"/>
        <w:ind w:firstLine="480"/>
        <w:rPr>
          <w:sz w:val="24"/>
        </w:rPr>
      </w:pPr>
    </w:p>
    <w:p w:rsidR="00BD3F11" w:rsidRPr="00F125BE" w:rsidRDefault="00BD3F11" w:rsidP="00C71008">
      <w:pPr>
        <w:adjustRightInd w:val="0"/>
        <w:snapToGrid w:val="0"/>
        <w:spacing w:line="360" w:lineRule="auto"/>
        <w:ind w:firstLineChars="2900" w:firstLine="6960"/>
        <w:jc w:val="right"/>
        <w:rPr>
          <w:sz w:val="24"/>
        </w:rPr>
      </w:pPr>
      <w:r>
        <w:rPr>
          <w:rFonts w:hint="eastAsia"/>
          <w:sz w:val="24"/>
        </w:rPr>
        <w:t>编制</w:t>
      </w:r>
      <w:r w:rsidRPr="00F125BE">
        <w:rPr>
          <w:rFonts w:hint="eastAsia"/>
          <w:sz w:val="24"/>
        </w:rPr>
        <w:t>工作</w:t>
      </w:r>
      <w:r w:rsidR="00ED6DDB">
        <w:rPr>
          <w:rFonts w:hint="eastAsia"/>
          <w:sz w:val="24"/>
        </w:rPr>
        <w:t>组</w:t>
      </w:r>
      <w:r>
        <w:rPr>
          <w:rFonts w:hint="eastAsia"/>
          <w:sz w:val="24"/>
        </w:rPr>
        <w:t xml:space="preserve"> </w:t>
      </w:r>
      <w:r w:rsidR="00ED6DDB">
        <w:rPr>
          <w:rFonts w:hint="eastAsia"/>
          <w:sz w:val="24"/>
        </w:rPr>
        <w:t xml:space="preserve"> 201</w:t>
      </w:r>
      <w:r w:rsidR="0075163C">
        <w:rPr>
          <w:rFonts w:hint="eastAsia"/>
          <w:sz w:val="24"/>
        </w:rPr>
        <w:t>8</w:t>
      </w:r>
      <w:r w:rsidR="00ED6DDB">
        <w:rPr>
          <w:rFonts w:hint="eastAsia"/>
          <w:sz w:val="24"/>
        </w:rPr>
        <w:t>年</w:t>
      </w:r>
      <w:r w:rsidR="005C7973">
        <w:rPr>
          <w:rFonts w:hint="eastAsia"/>
          <w:sz w:val="24"/>
        </w:rPr>
        <w:t>4</w:t>
      </w:r>
      <w:r w:rsidR="00ED6DDB">
        <w:rPr>
          <w:rFonts w:hint="eastAsia"/>
          <w:sz w:val="24"/>
        </w:rPr>
        <w:t>月</w:t>
      </w:r>
      <w:r w:rsidR="0075163C">
        <w:rPr>
          <w:rFonts w:hint="eastAsia"/>
          <w:sz w:val="24"/>
        </w:rPr>
        <w:t>2</w:t>
      </w:r>
      <w:r w:rsidR="005C7973">
        <w:rPr>
          <w:rFonts w:hint="eastAsia"/>
          <w:sz w:val="24"/>
        </w:rPr>
        <w:t>6</w:t>
      </w:r>
      <w:r w:rsidR="00ED6DDB">
        <w:rPr>
          <w:rFonts w:hint="eastAsia"/>
          <w:sz w:val="24"/>
        </w:rPr>
        <w:t>日</w:t>
      </w:r>
    </w:p>
    <w:p w:rsidR="00BD3F11" w:rsidRPr="00BD3F11" w:rsidRDefault="00BD3F11" w:rsidP="00C71008">
      <w:pPr>
        <w:pStyle w:val="Default"/>
        <w:snapToGrid w:val="0"/>
        <w:spacing w:line="360" w:lineRule="auto"/>
        <w:ind w:firstLineChars="200" w:firstLine="480"/>
        <w:jc w:val="both"/>
        <w:rPr>
          <w:rFonts w:ascii="宋体" w:hAnsi="宋体" w:cs="Times New Roman"/>
          <w:kern w:val="2"/>
        </w:rPr>
      </w:pPr>
    </w:p>
    <w:p w:rsidR="00501502" w:rsidRPr="00BD3F11" w:rsidRDefault="00501502" w:rsidP="00C71008">
      <w:pPr>
        <w:adjustRightInd w:val="0"/>
        <w:snapToGrid w:val="0"/>
        <w:spacing w:line="360" w:lineRule="auto"/>
      </w:pPr>
    </w:p>
    <w:sectPr w:rsidR="00501502" w:rsidRPr="00BD3F11" w:rsidSect="00C057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1E" w:rsidRDefault="00DF6A1E" w:rsidP="00E35AD1">
      <w:pPr>
        <w:ind w:firstLine="420"/>
      </w:pPr>
      <w:r>
        <w:separator/>
      </w:r>
    </w:p>
  </w:endnote>
  <w:endnote w:type="continuationSeparator" w:id="0">
    <w:p w:rsidR="00DF6A1E" w:rsidRDefault="00DF6A1E" w:rsidP="00E35AD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191"/>
      <w:docPartObj>
        <w:docPartGallery w:val="Page Numbers (Bottom of Page)"/>
        <w:docPartUnique/>
      </w:docPartObj>
    </w:sdtPr>
    <w:sdtEndPr>
      <w:rPr>
        <w:sz w:val="21"/>
        <w:szCs w:val="21"/>
      </w:rPr>
    </w:sdtEndPr>
    <w:sdtContent>
      <w:sdt>
        <w:sdtPr>
          <w:id w:val="171357217"/>
          <w:docPartObj>
            <w:docPartGallery w:val="Page Numbers (Top of Page)"/>
            <w:docPartUnique/>
          </w:docPartObj>
        </w:sdtPr>
        <w:sdtEndPr>
          <w:rPr>
            <w:sz w:val="21"/>
            <w:szCs w:val="21"/>
          </w:rPr>
        </w:sdtEndPr>
        <w:sdtContent>
          <w:p w:rsidR="001F5674" w:rsidRPr="001F5674" w:rsidRDefault="001F5674">
            <w:pPr>
              <w:pStyle w:val="a4"/>
              <w:jc w:val="center"/>
              <w:rPr>
                <w:sz w:val="21"/>
                <w:szCs w:val="21"/>
              </w:rPr>
            </w:pPr>
            <w:r w:rsidRPr="001F5674">
              <w:rPr>
                <w:rFonts w:hint="eastAsia"/>
                <w:sz w:val="21"/>
                <w:szCs w:val="21"/>
              </w:rPr>
              <w:t>第</w:t>
            </w:r>
            <w:r w:rsidRPr="001F5674">
              <w:rPr>
                <w:sz w:val="21"/>
                <w:szCs w:val="21"/>
                <w:lang w:val="zh-CN"/>
              </w:rPr>
              <w:t xml:space="preserve"> </w:t>
            </w:r>
            <w:r w:rsidR="00212324" w:rsidRPr="001F5674">
              <w:rPr>
                <w:sz w:val="21"/>
                <w:szCs w:val="21"/>
              </w:rPr>
              <w:fldChar w:fldCharType="begin"/>
            </w:r>
            <w:r w:rsidRPr="001F5674">
              <w:rPr>
                <w:sz w:val="21"/>
                <w:szCs w:val="21"/>
              </w:rPr>
              <w:instrText>PAGE</w:instrText>
            </w:r>
            <w:r w:rsidR="00212324" w:rsidRPr="001F5674">
              <w:rPr>
                <w:sz w:val="21"/>
                <w:szCs w:val="21"/>
              </w:rPr>
              <w:fldChar w:fldCharType="separate"/>
            </w:r>
            <w:r w:rsidR="00A83A10">
              <w:rPr>
                <w:noProof/>
                <w:sz w:val="21"/>
                <w:szCs w:val="21"/>
              </w:rPr>
              <w:t>1</w:t>
            </w:r>
            <w:r w:rsidR="00212324" w:rsidRPr="001F5674">
              <w:rPr>
                <w:sz w:val="21"/>
                <w:szCs w:val="21"/>
              </w:rPr>
              <w:fldChar w:fldCharType="end"/>
            </w:r>
            <w:r w:rsidRPr="001F5674">
              <w:rPr>
                <w:rFonts w:hint="eastAsia"/>
                <w:sz w:val="21"/>
                <w:szCs w:val="21"/>
              </w:rPr>
              <w:t>页</w:t>
            </w:r>
            <w:r w:rsidRPr="001F5674">
              <w:rPr>
                <w:sz w:val="21"/>
                <w:szCs w:val="21"/>
                <w:lang w:val="zh-CN"/>
              </w:rPr>
              <w:t xml:space="preserve"> /</w:t>
            </w:r>
            <w:r w:rsidRPr="001F5674">
              <w:rPr>
                <w:rFonts w:hint="eastAsia"/>
                <w:sz w:val="21"/>
                <w:szCs w:val="21"/>
                <w:lang w:val="zh-CN"/>
              </w:rPr>
              <w:t>共</w:t>
            </w:r>
            <w:r w:rsidRPr="001F5674">
              <w:rPr>
                <w:sz w:val="21"/>
                <w:szCs w:val="21"/>
                <w:lang w:val="zh-CN"/>
              </w:rPr>
              <w:t xml:space="preserve"> </w:t>
            </w:r>
            <w:r w:rsidR="00212324" w:rsidRPr="001F5674">
              <w:rPr>
                <w:sz w:val="21"/>
                <w:szCs w:val="21"/>
              </w:rPr>
              <w:fldChar w:fldCharType="begin"/>
            </w:r>
            <w:r w:rsidRPr="001F5674">
              <w:rPr>
                <w:sz w:val="21"/>
                <w:szCs w:val="21"/>
              </w:rPr>
              <w:instrText>NUMPAGES</w:instrText>
            </w:r>
            <w:r w:rsidR="00212324" w:rsidRPr="001F5674">
              <w:rPr>
                <w:sz w:val="21"/>
                <w:szCs w:val="21"/>
              </w:rPr>
              <w:fldChar w:fldCharType="separate"/>
            </w:r>
            <w:r w:rsidR="00A83A10">
              <w:rPr>
                <w:noProof/>
                <w:sz w:val="21"/>
                <w:szCs w:val="21"/>
              </w:rPr>
              <w:t>2</w:t>
            </w:r>
            <w:r w:rsidR="00212324" w:rsidRPr="001F5674">
              <w:rPr>
                <w:sz w:val="21"/>
                <w:szCs w:val="21"/>
              </w:rPr>
              <w:fldChar w:fldCharType="end"/>
            </w:r>
            <w:r w:rsidRPr="001F5674">
              <w:rPr>
                <w:rFonts w:hint="eastAsia"/>
                <w:sz w:val="21"/>
                <w:szCs w:val="21"/>
              </w:rPr>
              <w:t>页</w:t>
            </w:r>
          </w:p>
        </w:sdtContent>
      </w:sdt>
    </w:sdtContent>
  </w:sdt>
  <w:p w:rsidR="001F5674" w:rsidRDefault="001F56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1E" w:rsidRDefault="00DF6A1E" w:rsidP="00E35AD1">
      <w:pPr>
        <w:ind w:firstLine="420"/>
      </w:pPr>
      <w:r>
        <w:separator/>
      </w:r>
    </w:p>
  </w:footnote>
  <w:footnote w:type="continuationSeparator" w:id="0">
    <w:p w:rsidR="00DF6A1E" w:rsidRDefault="00DF6A1E" w:rsidP="00E35AD1">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53C80"/>
    <w:multiLevelType w:val="hybridMultilevel"/>
    <w:tmpl w:val="D430E08A"/>
    <w:lvl w:ilvl="0" w:tplc="C6D21B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AD1"/>
    <w:rsid w:val="00025D0C"/>
    <w:rsid w:val="00084CC8"/>
    <w:rsid w:val="000A49EA"/>
    <w:rsid w:val="000A73C0"/>
    <w:rsid w:val="000C633C"/>
    <w:rsid w:val="000E3BCF"/>
    <w:rsid w:val="000F48D2"/>
    <w:rsid w:val="00137174"/>
    <w:rsid w:val="001654FB"/>
    <w:rsid w:val="0016661B"/>
    <w:rsid w:val="00176268"/>
    <w:rsid w:val="001815F7"/>
    <w:rsid w:val="0019494A"/>
    <w:rsid w:val="001A7C87"/>
    <w:rsid w:val="001D7356"/>
    <w:rsid w:val="001F5674"/>
    <w:rsid w:val="00212324"/>
    <w:rsid w:val="00251E32"/>
    <w:rsid w:val="002A4716"/>
    <w:rsid w:val="002F2023"/>
    <w:rsid w:val="0031103C"/>
    <w:rsid w:val="00312D71"/>
    <w:rsid w:val="0031770E"/>
    <w:rsid w:val="00317F82"/>
    <w:rsid w:val="0035307E"/>
    <w:rsid w:val="003958A4"/>
    <w:rsid w:val="00397DBA"/>
    <w:rsid w:val="003B0DED"/>
    <w:rsid w:val="003B43AA"/>
    <w:rsid w:val="003C05F4"/>
    <w:rsid w:val="003D1413"/>
    <w:rsid w:val="003D3280"/>
    <w:rsid w:val="00415B9A"/>
    <w:rsid w:val="00434617"/>
    <w:rsid w:val="0045076A"/>
    <w:rsid w:val="00456C4E"/>
    <w:rsid w:val="00460B32"/>
    <w:rsid w:val="00466630"/>
    <w:rsid w:val="004A5E9E"/>
    <w:rsid w:val="004A72E7"/>
    <w:rsid w:val="004B2EFF"/>
    <w:rsid w:val="004D17AA"/>
    <w:rsid w:val="004D7AA3"/>
    <w:rsid w:val="004E59E6"/>
    <w:rsid w:val="00501502"/>
    <w:rsid w:val="005319BE"/>
    <w:rsid w:val="005474B1"/>
    <w:rsid w:val="005C6E22"/>
    <w:rsid w:val="005C7973"/>
    <w:rsid w:val="005D3CA9"/>
    <w:rsid w:val="00687FA2"/>
    <w:rsid w:val="006A1B41"/>
    <w:rsid w:val="006D7587"/>
    <w:rsid w:val="0075163C"/>
    <w:rsid w:val="007B4E94"/>
    <w:rsid w:val="007F39F6"/>
    <w:rsid w:val="007F405B"/>
    <w:rsid w:val="0081352C"/>
    <w:rsid w:val="008A311C"/>
    <w:rsid w:val="008E70F9"/>
    <w:rsid w:val="00911E9A"/>
    <w:rsid w:val="00942866"/>
    <w:rsid w:val="009520B0"/>
    <w:rsid w:val="009576AE"/>
    <w:rsid w:val="0099070E"/>
    <w:rsid w:val="009A6D54"/>
    <w:rsid w:val="00A12927"/>
    <w:rsid w:val="00A12ADC"/>
    <w:rsid w:val="00A21E98"/>
    <w:rsid w:val="00A27F56"/>
    <w:rsid w:val="00A5407E"/>
    <w:rsid w:val="00A718AC"/>
    <w:rsid w:val="00A71ECF"/>
    <w:rsid w:val="00A83A10"/>
    <w:rsid w:val="00AA443A"/>
    <w:rsid w:val="00AB0A2D"/>
    <w:rsid w:val="00AC032F"/>
    <w:rsid w:val="00AF77AA"/>
    <w:rsid w:val="00B161D1"/>
    <w:rsid w:val="00B54D40"/>
    <w:rsid w:val="00B90303"/>
    <w:rsid w:val="00B90F35"/>
    <w:rsid w:val="00BC57F1"/>
    <w:rsid w:val="00BD3F11"/>
    <w:rsid w:val="00BD56A1"/>
    <w:rsid w:val="00C05742"/>
    <w:rsid w:val="00C521F5"/>
    <w:rsid w:val="00C71008"/>
    <w:rsid w:val="00CB2B5D"/>
    <w:rsid w:val="00CF5098"/>
    <w:rsid w:val="00D221A7"/>
    <w:rsid w:val="00D42DC8"/>
    <w:rsid w:val="00D84749"/>
    <w:rsid w:val="00DA29DB"/>
    <w:rsid w:val="00DF0F48"/>
    <w:rsid w:val="00DF6A1E"/>
    <w:rsid w:val="00E17563"/>
    <w:rsid w:val="00E20B4A"/>
    <w:rsid w:val="00E35AD1"/>
    <w:rsid w:val="00E424E2"/>
    <w:rsid w:val="00E92EDE"/>
    <w:rsid w:val="00EA3131"/>
    <w:rsid w:val="00EB7810"/>
    <w:rsid w:val="00ED00AA"/>
    <w:rsid w:val="00ED6DDB"/>
    <w:rsid w:val="00EF7041"/>
    <w:rsid w:val="00F14985"/>
    <w:rsid w:val="00F2374F"/>
    <w:rsid w:val="00F30F8F"/>
    <w:rsid w:val="00F47E96"/>
    <w:rsid w:val="00F63FB0"/>
    <w:rsid w:val="00F72386"/>
    <w:rsid w:val="00F816C4"/>
    <w:rsid w:val="00F86FC4"/>
    <w:rsid w:val="00FB4AB0"/>
    <w:rsid w:val="00FE2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AD1"/>
    <w:rPr>
      <w:sz w:val="18"/>
      <w:szCs w:val="18"/>
    </w:rPr>
  </w:style>
  <w:style w:type="paragraph" w:styleId="a4">
    <w:name w:val="footer"/>
    <w:basedOn w:val="a"/>
    <w:link w:val="Char0"/>
    <w:uiPriority w:val="99"/>
    <w:unhideWhenUsed/>
    <w:rsid w:val="00E35AD1"/>
    <w:pPr>
      <w:tabs>
        <w:tab w:val="center" w:pos="4153"/>
        <w:tab w:val="right" w:pos="8306"/>
      </w:tabs>
      <w:snapToGrid w:val="0"/>
      <w:jc w:val="left"/>
    </w:pPr>
    <w:rPr>
      <w:sz w:val="18"/>
      <w:szCs w:val="18"/>
    </w:rPr>
  </w:style>
  <w:style w:type="character" w:customStyle="1" w:styleId="Char0">
    <w:name w:val="页脚 Char"/>
    <w:basedOn w:val="a0"/>
    <w:link w:val="a4"/>
    <w:uiPriority w:val="99"/>
    <w:rsid w:val="00E35AD1"/>
    <w:rPr>
      <w:sz w:val="18"/>
      <w:szCs w:val="18"/>
    </w:rPr>
  </w:style>
  <w:style w:type="paragraph" w:customStyle="1" w:styleId="Default">
    <w:name w:val="Default"/>
    <w:rsid w:val="00BD3F11"/>
    <w:pPr>
      <w:widowControl w:val="0"/>
      <w:autoSpaceDE w:val="0"/>
      <w:autoSpaceDN w:val="0"/>
      <w:adjustRightInd w:val="0"/>
    </w:pPr>
    <w:rPr>
      <w:rFonts w:ascii="Arial" w:eastAsia="宋体" w:hAnsi="Arial" w:cs="Arial"/>
      <w:color w:val="000000"/>
      <w:kern w:val="0"/>
      <w:sz w:val="24"/>
      <w:szCs w:val="24"/>
    </w:rPr>
  </w:style>
  <w:style w:type="table" w:styleId="a5">
    <w:name w:val="Table Grid"/>
    <w:basedOn w:val="a1"/>
    <w:uiPriority w:val="59"/>
    <w:rsid w:val="00952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qFormat/>
    <w:rsid w:val="00BC57F1"/>
    <w:pPr>
      <w:tabs>
        <w:tab w:val="center" w:pos="4201"/>
        <w:tab w:val="right" w:leader="dot" w:pos="9298"/>
      </w:tabs>
      <w:autoSpaceDE w:val="0"/>
      <w:autoSpaceDN w:val="0"/>
      <w:ind w:firstLineChars="200" w:firstLine="200"/>
      <w:jc w:val="both"/>
    </w:pPr>
    <w:rPr>
      <w:rFonts w:ascii="宋体" w:eastAsia="宋体" w:hAnsi="Calibri" w:cs="Arial"/>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2018-04-28T06:49:00Z</cp:lastPrinted>
  <dcterms:created xsi:type="dcterms:W3CDTF">2018-03-28T06:11:00Z</dcterms:created>
  <dcterms:modified xsi:type="dcterms:W3CDTF">2018-05-14T03:27:00Z</dcterms:modified>
</cp:coreProperties>
</file>