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EF" w:rsidRDefault="00DA74EF" w:rsidP="00DA7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CNAS-RC0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《认证机构认可规则》</w:t>
      </w:r>
    </w:p>
    <w:p w:rsidR="00DA74EF" w:rsidRDefault="00DA74EF" w:rsidP="00DA7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修订说明</w:t>
      </w:r>
    </w:p>
    <w:p w:rsidR="00DA74EF" w:rsidRDefault="00DA74EF" w:rsidP="00DA74EF">
      <w:pPr>
        <w:rPr>
          <w:sz w:val="24"/>
          <w:szCs w:val="24"/>
        </w:rPr>
      </w:pPr>
    </w:p>
    <w:p w:rsidR="00DA74EF" w:rsidRPr="00DA74EF" w:rsidRDefault="00DA74EF" w:rsidP="00DA74EF">
      <w:pPr>
        <w:pStyle w:val="a3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hint="eastAsia"/>
          <w:b/>
          <w:sz w:val="24"/>
          <w:szCs w:val="24"/>
        </w:rPr>
      </w:pPr>
      <w:r w:rsidRPr="00DA74EF">
        <w:rPr>
          <w:rFonts w:hint="eastAsia"/>
          <w:b/>
          <w:sz w:val="24"/>
          <w:szCs w:val="24"/>
        </w:rPr>
        <w:t>修订原因</w:t>
      </w:r>
    </w:p>
    <w:p w:rsidR="00DA74EF" w:rsidRPr="00DA74EF" w:rsidRDefault="00DA74EF" w:rsidP="00DA74E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保持内容与</w:t>
      </w:r>
      <w:r w:rsidRPr="00DA74EF"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>版</w:t>
      </w:r>
      <w:r w:rsidRPr="00DA74EF">
        <w:rPr>
          <w:rFonts w:hint="eastAsia"/>
          <w:sz w:val="24"/>
          <w:szCs w:val="24"/>
        </w:rPr>
        <w:t>17011</w:t>
      </w:r>
      <w:r>
        <w:rPr>
          <w:rFonts w:hint="eastAsia"/>
          <w:sz w:val="24"/>
          <w:szCs w:val="24"/>
        </w:rPr>
        <w:t>一致；</w:t>
      </w:r>
    </w:p>
    <w:p w:rsidR="00DA74EF" w:rsidRPr="00DA74EF" w:rsidRDefault="00DA74EF" w:rsidP="00DA74E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hint="eastAsia"/>
          <w:sz w:val="24"/>
          <w:szCs w:val="24"/>
        </w:rPr>
      </w:pPr>
      <w:r w:rsidRPr="00DA74EF">
        <w:rPr>
          <w:rFonts w:hint="eastAsia"/>
          <w:sz w:val="24"/>
          <w:szCs w:val="24"/>
        </w:rPr>
        <w:t>增加可操作性；</w:t>
      </w:r>
    </w:p>
    <w:p w:rsidR="00DA74EF" w:rsidRPr="00DA74EF" w:rsidRDefault="00DA74EF" w:rsidP="00DA74E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hint="eastAsia"/>
          <w:b/>
          <w:sz w:val="24"/>
          <w:szCs w:val="24"/>
        </w:rPr>
      </w:pPr>
      <w:r w:rsidRPr="00DA74EF">
        <w:rPr>
          <w:rFonts w:hint="eastAsia"/>
          <w:sz w:val="24"/>
          <w:szCs w:val="24"/>
        </w:rPr>
        <w:t>编辑性修订。</w:t>
      </w:r>
    </w:p>
    <w:p w:rsidR="00DA74EF" w:rsidRDefault="00DA74EF" w:rsidP="00DA74EF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</w:p>
    <w:p w:rsidR="00DA74EF" w:rsidRDefault="00DA74EF" w:rsidP="00DA74EF">
      <w:pPr>
        <w:spacing w:beforeLines="50" w:before="156" w:afterLines="50" w:after="156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．修订内容</w:t>
      </w:r>
    </w:p>
    <w:p w:rsidR="00DA74EF" w:rsidRDefault="00136718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保持内容与新版17011说法一致</w:t>
      </w:r>
      <w:r w:rsidR="00DA74EF">
        <w:rPr>
          <w:rFonts w:asciiTheme="minorEastAsia" w:hAnsiTheme="minorEastAsia" w:cs="Arial Unicode MS" w:hint="eastAsia"/>
          <w:sz w:val="24"/>
          <w:szCs w:val="24"/>
        </w:rPr>
        <w:t>。</w:t>
      </w:r>
    </w:p>
    <w:p w:rsidR="00DA74EF" w:rsidRDefault="0066160A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明确</w:t>
      </w:r>
      <w:r w:rsidR="000A1032">
        <w:rPr>
          <w:rFonts w:asciiTheme="minorEastAsia" w:hAnsiTheme="minorEastAsia" w:cs="Arial Unicode MS" w:hint="eastAsia"/>
          <w:sz w:val="24"/>
          <w:szCs w:val="24"/>
        </w:rPr>
        <w:t>认可申请环节不予受理的情况，更具可操作性。</w:t>
      </w:r>
    </w:p>
    <w:p w:rsidR="00DA74EF" w:rsidRDefault="000A1032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进一步明确纠正措施验证不能按期完成时的处理方法，更具可操作性。</w:t>
      </w:r>
    </w:p>
    <w:p w:rsidR="00DA74EF" w:rsidRDefault="000A1032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进一步明确业务范围认可中见证</w:t>
      </w:r>
      <w:r w:rsidR="005473B9">
        <w:rPr>
          <w:rFonts w:asciiTheme="minorEastAsia" w:hAnsiTheme="minorEastAsia" w:cs="Arial Unicode MS" w:hint="eastAsia"/>
          <w:sz w:val="24"/>
          <w:szCs w:val="24"/>
        </w:rPr>
        <w:t>评审</w:t>
      </w:r>
      <w:r>
        <w:rPr>
          <w:rFonts w:asciiTheme="minorEastAsia" w:hAnsiTheme="minorEastAsia" w:cs="Arial Unicode MS" w:hint="eastAsia"/>
          <w:sz w:val="24"/>
          <w:szCs w:val="24"/>
        </w:rPr>
        <w:t>相关的时限</w:t>
      </w:r>
      <w:r w:rsidR="005473B9">
        <w:rPr>
          <w:rFonts w:asciiTheme="minorEastAsia" w:hAnsiTheme="minorEastAsia" w:cs="Arial Unicode MS" w:hint="eastAsia"/>
          <w:sz w:val="24"/>
          <w:szCs w:val="24"/>
        </w:rPr>
        <w:t>和不予认可的情况</w:t>
      </w:r>
      <w:r>
        <w:rPr>
          <w:rFonts w:asciiTheme="minorEastAsia" w:hAnsiTheme="minorEastAsia" w:cs="Arial Unicode MS" w:hint="eastAsia"/>
          <w:sz w:val="24"/>
          <w:szCs w:val="24"/>
        </w:rPr>
        <w:t>，更具可操作性</w:t>
      </w:r>
      <w:r w:rsidR="00DA74EF">
        <w:rPr>
          <w:rFonts w:asciiTheme="minorEastAsia" w:hAnsiTheme="minorEastAsia" w:cs="Arial Unicode MS" w:hint="eastAsia"/>
          <w:sz w:val="24"/>
          <w:szCs w:val="24"/>
        </w:rPr>
        <w:t>。</w:t>
      </w:r>
    </w:p>
    <w:p w:rsidR="000A1032" w:rsidRDefault="005473B9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进一步明确认可后见证评审不通过</w:t>
      </w:r>
      <w:r w:rsidR="0066160A">
        <w:rPr>
          <w:rFonts w:asciiTheme="minorEastAsia" w:hAnsiTheme="minorEastAsia" w:cs="Arial Unicode MS" w:hint="eastAsia"/>
          <w:sz w:val="24"/>
          <w:szCs w:val="24"/>
        </w:rPr>
        <w:t>时</w:t>
      </w:r>
      <w:r>
        <w:rPr>
          <w:rFonts w:asciiTheme="minorEastAsia" w:hAnsiTheme="minorEastAsia" w:cs="Arial Unicode MS" w:hint="eastAsia"/>
          <w:sz w:val="24"/>
          <w:szCs w:val="24"/>
        </w:rPr>
        <w:t>的处置。</w:t>
      </w:r>
    </w:p>
    <w:p w:rsidR="00DA74EF" w:rsidRDefault="00DA74EF" w:rsidP="00DA74EF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其他编辑性修改。</w:t>
      </w:r>
    </w:p>
    <w:p w:rsidR="007B58C8" w:rsidRDefault="007B58C8">
      <w:pPr>
        <w:rPr>
          <w:rFonts w:hint="eastAsia"/>
        </w:rPr>
      </w:pPr>
      <w:bookmarkStart w:id="0" w:name="_GoBack"/>
      <w:bookmarkEnd w:id="0"/>
    </w:p>
    <w:sectPr w:rsidR="007B5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2F7"/>
    <w:multiLevelType w:val="hybridMultilevel"/>
    <w:tmpl w:val="23027528"/>
    <w:lvl w:ilvl="0" w:tplc="C0D061B6">
      <w:start w:val="1"/>
      <w:numFmt w:val="decimal"/>
      <w:lvlText w:val="%1）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0946B0A"/>
    <w:multiLevelType w:val="hybridMultilevel"/>
    <w:tmpl w:val="91B676D8"/>
    <w:lvl w:ilvl="0" w:tplc="1040AE76">
      <w:start w:val="1"/>
      <w:numFmt w:val="decimal"/>
      <w:lvlText w:val="%1．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A6DE3"/>
    <w:multiLevelType w:val="hybridMultilevel"/>
    <w:tmpl w:val="3F949B0A"/>
    <w:lvl w:ilvl="0" w:tplc="04090011">
      <w:start w:val="1"/>
      <w:numFmt w:val="decimal"/>
      <w:lvlText w:val="%1)"/>
      <w:lvlJc w:val="left"/>
      <w:pPr>
        <w:ind w:left="74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F"/>
    <w:rsid w:val="000A1032"/>
    <w:rsid w:val="00136718"/>
    <w:rsid w:val="005473B9"/>
    <w:rsid w:val="0066160A"/>
    <w:rsid w:val="007B58C8"/>
    <w:rsid w:val="007D76E8"/>
    <w:rsid w:val="00D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yanjingqing</dc:creator>
  <cp:lastModifiedBy>yanjingqing</cp:lastModifiedBy>
  <cp:revision>4</cp:revision>
  <dcterms:created xsi:type="dcterms:W3CDTF">2018-03-23T06:00:00Z</dcterms:created>
  <dcterms:modified xsi:type="dcterms:W3CDTF">2018-03-23T06:25:00Z</dcterms:modified>
</cp:coreProperties>
</file>