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10" w:rsidRDefault="00601EFD" w:rsidP="00601EFD">
      <w:pPr>
        <w:jc w:val="center"/>
        <w:rPr>
          <w:rFonts w:asciiTheme="minorEastAsia" w:hAnsiTheme="minorEastAsia"/>
          <w:b/>
          <w:sz w:val="32"/>
          <w:szCs w:val="32"/>
        </w:rPr>
      </w:pPr>
      <w:proofErr w:type="gramStart"/>
      <w:r w:rsidRPr="00201E0E">
        <w:rPr>
          <w:rFonts w:asciiTheme="minorEastAsia" w:hAnsiTheme="minorEastAsia" w:hint="eastAsia"/>
          <w:b/>
          <w:sz w:val="32"/>
          <w:szCs w:val="32"/>
        </w:rPr>
        <w:t>《</w:t>
      </w:r>
      <w:proofErr w:type="gramEnd"/>
      <w:r w:rsidRPr="00201E0E">
        <w:rPr>
          <w:rFonts w:asciiTheme="minorEastAsia" w:hAnsiTheme="minorEastAsia" w:hint="eastAsia"/>
          <w:b/>
          <w:sz w:val="32"/>
          <w:szCs w:val="32"/>
        </w:rPr>
        <w:t>检测和校准实验室能力认可准则在</w:t>
      </w:r>
      <w:r w:rsidR="00963A01" w:rsidRPr="00201E0E">
        <w:rPr>
          <w:rFonts w:asciiTheme="minorEastAsia" w:hAnsiTheme="minorEastAsia" w:hint="eastAsia"/>
          <w:b/>
          <w:sz w:val="32"/>
          <w:szCs w:val="32"/>
        </w:rPr>
        <w:t>代谢物和非肽激素</w:t>
      </w:r>
    </w:p>
    <w:p w:rsidR="00601EFD" w:rsidRPr="00201E0E" w:rsidRDefault="00601EFD" w:rsidP="00601EFD">
      <w:pPr>
        <w:jc w:val="center"/>
        <w:rPr>
          <w:rFonts w:asciiTheme="minorEastAsia" w:hAnsiTheme="minorEastAsia"/>
          <w:b/>
          <w:sz w:val="32"/>
          <w:szCs w:val="32"/>
        </w:rPr>
      </w:pPr>
      <w:r w:rsidRPr="00201E0E">
        <w:rPr>
          <w:rFonts w:asciiTheme="minorEastAsia" w:hAnsiTheme="minorEastAsia" w:hint="eastAsia"/>
          <w:b/>
          <w:sz w:val="32"/>
          <w:szCs w:val="32"/>
        </w:rPr>
        <w:t>参考测量领域的应用说明</w:t>
      </w:r>
      <w:proofErr w:type="gramStart"/>
      <w:r w:rsidRPr="00201E0E">
        <w:rPr>
          <w:rFonts w:asciiTheme="minorEastAsia" w:hAnsiTheme="minorEastAsia" w:hint="eastAsia"/>
          <w:b/>
          <w:sz w:val="32"/>
          <w:szCs w:val="32"/>
        </w:rPr>
        <w:t>》</w:t>
      </w:r>
      <w:proofErr w:type="gramEnd"/>
      <w:r w:rsidRPr="00201E0E">
        <w:rPr>
          <w:rFonts w:asciiTheme="minorEastAsia" w:hAnsiTheme="minorEastAsia" w:hint="eastAsia"/>
          <w:b/>
          <w:sz w:val="32"/>
          <w:szCs w:val="32"/>
        </w:rPr>
        <w:t>（</w:t>
      </w:r>
      <w:r w:rsidR="00963A01" w:rsidRPr="00201E0E">
        <w:rPr>
          <w:rFonts w:asciiTheme="minorEastAsia" w:hAnsiTheme="minorEastAsia" w:hint="eastAsia"/>
          <w:b/>
          <w:sz w:val="32"/>
          <w:szCs w:val="32"/>
        </w:rPr>
        <w:t>征求意见稿</w:t>
      </w:r>
      <w:r w:rsidRPr="00201E0E">
        <w:rPr>
          <w:rFonts w:asciiTheme="minorEastAsia" w:hAnsiTheme="minorEastAsia" w:hint="eastAsia"/>
          <w:b/>
          <w:sz w:val="32"/>
          <w:szCs w:val="32"/>
        </w:rPr>
        <w:t>）编制说明</w:t>
      </w:r>
    </w:p>
    <w:p w:rsidR="00601EFD" w:rsidRPr="00EF558E" w:rsidRDefault="00601EFD" w:rsidP="00601EFD">
      <w:pPr>
        <w:jc w:val="center"/>
        <w:rPr>
          <w:rFonts w:asciiTheme="minorEastAsia" w:hAnsiTheme="minorEastAsia"/>
          <w:sz w:val="28"/>
          <w:szCs w:val="28"/>
        </w:rPr>
      </w:pPr>
    </w:p>
    <w:p w:rsidR="00963A01" w:rsidRDefault="00601EFD" w:rsidP="00963A01">
      <w:pPr>
        <w:ind w:firstLine="570"/>
        <w:rPr>
          <w:rFonts w:asciiTheme="minorEastAsia" w:hAnsiTheme="minorEastAsia"/>
          <w:sz w:val="28"/>
          <w:szCs w:val="28"/>
        </w:rPr>
      </w:pPr>
      <w:r w:rsidRPr="00EF558E">
        <w:rPr>
          <w:rFonts w:asciiTheme="minorEastAsia" w:hAnsiTheme="minorEastAsia" w:hint="eastAsia"/>
          <w:sz w:val="28"/>
          <w:szCs w:val="28"/>
        </w:rPr>
        <w:t>CNAS已经建立了医学参考测量实验室认可制度，但认可的领域主要局限在酶学</w:t>
      </w:r>
      <w:r w:rsidR="00963A01">
        <w:rPr>
          <w:rFonts w:asciiTheme="minorEastAsia" w:hAnsiTheme="minorEastAsia" w:hint="eastAsia"/>
          <w:sz w:val="28"/>
          <w:szCs w:val="28"/>
        </w:rPr>
        <w:t>、血液学</w:t>
      </w:r>
      <w:r w:rsidRPr="00EF558E">
        <w:rPr>
          <w:rFonts w:asciiTheme="minorEastAsia" w:hAnsiTheme="minorEastAsia" w:hint="eastAsia"/>
          <w:sz w:val="28"/>
          <w:szCs w:val="28"/>
        </w:rPr>
        <w:t>参考测量领域。为了促进这项认可制度进一步发展，更好地为我国医学临床检验量值溯源工作做好服务，在</w:t>
      </w:r>
      <w:r w:rsidR="00963A01">
        <w:rPr>
          <w:rFonts w:asciiTheme="minorEastAsia" w:hAnsiTheme="minorEastAsia" w:hint="eastAsia"/>
          <w:sz w:val="28"/>
          <w:szCs w:val="28"/>
        </w:rPr>
        <w:t>涉及常规临床检验项目众多、为</w:t>
      </w:r>
      <w:r w:rsidR="00963A01" w:rsidRPr="00963A01">
        <w:rPr>
          <w:rFonts w:asciiTheme="minorEastAsia" w:hAnsiTheme="minorEastAsia" w:hint="eastAsia"/>
          <w:sz w:val="28"/>
          <w:szCs w:val="28"/>
        </w:rPr>
        <w:t>我国临床检验</w:t>
      </w:r>
      <w:r w:rsidR="00963A01">
        <w:rPr>
          <w:rFonts w:asciiTheme="minorEastAsia" w:hAnsiTheme="minorEastAsia" w:hint="eastAsia"/>
          <w:sz w:val="28"/>
          <w:szCs w:val="28"/>
        </w:rPr>
        <w:t>量值</w:t>
      </w:r>
      <w:r w:rsidR="00963A01" w:rsidRPr="00963A01">
        <w:rPr>
          <w:rFonts w:asciiTheme="minorEastAsia" w:hAnsiTheme="minorEastAsia" w:hint="eastAsia"/>
          <w:sz w:val="28"/>
          <w:szCs w:val="28"/>
        </w:rPr>
        <w:t>溯源所急需的</w:t>
      </w:r>
      <w:r w:rsidR="00963A01">
        <w:rPr>
          <w:rFonts w:asciiTheme="minorEastAsia" w:hAnsiTheme="minorEastAsia" w:hint="eastAsia"/>
          <w:sz w:val="28"/>
          <w:szCs w:val="28"/>
        </w:rPr>
        <w:t>代谢物及非肽激素参考测量领域，研究编制专门的</w:t>
      </w:r>
      <w:r w:rsidRPr="00EF558E">
        <w:rPr>
          <w:rFonts w:asciiTheme="minorEastAsia" w:hAnsiTheme="minorEastAsia" w:hint="eastAsia"/>
          <w:sz w:val="28"/>
          <w:szCs w:val="28"/>
        </w:rPr>
        <w:t>认可技术要求的</w:t>
      </w:r>
      <w:r w:rsidR="00963A01">
        <w:rPr>
          <w:rFonts w:asciiTheme="minorEastAsia" w:hAnsiTheme="minorEastAsia" w:hint="eastAsia"/>
          <w:sz w:val="28"/>
          <w:szCs w:val="28"/>
        </w:rPr>
        <w:t>文件</w:t>
      </w:r>
      <w:r w:rsidR="00B30D21" w:rsidRPr="00EF558E">
        <w:rPr>
          <w:rFonts w:asciiTheme="minorEastAsia" w:hAnsiTheme="minorEastAsia" w:hint="eastAsia"/>
          <w:sz w:val="28"/>
          <w:szCs w:val="28"/>
        </w:rPr>
        <w:t>是CNAS的责任</w:t>
      </w:r>
      <w:r w:rsidRPr="00EF558E">
        <w:rPr>
          <w:rFonts w:asciiTheme="minorEastAsia" w:hAnsiTheme="minorEastAsia" w:hint="eastAsia"/>
          <w:sz w:val="28"/>
          <w:szCs w:val="28"/>
        </w:rPr>
        <w:t>。</w:t>
      </w:r>
    </w:p>
    <w:p w:rsidR="00963A01" w:rsidRPr="00963A01" w:rsidRDefault="00963A01" w:rsidP="00963A01">
      <w:pPr>
        <w:ind w:firstLine="570"/>
        <w:rPr>
          <w:rFonts w:asciiTheme="minorEastAsia" w:hAnsiTheme="minorEastAsia"/>
          <w:sz w:val="28"/>
          <w:szCs w:val="28"/>
        </w:rPr>
      </w:pPr>
      <w:r w:rsidRPr="00963A01">
        <w:rPr>
          <w:rFonts w:asciiTheme="minorEastAsia" w:hAnsiTheme="minorEastAsia" w:hint="eastAsia"/>
          <w:sz w:val="28"/>
          <w:szCs w:val="28"/>
        </w:rPr>
        <w:t>JCTLM将临床检验项目分成15大类，包括血细胞计数、血气、凝血因子、微生物血清学、血型分类、药物、电解质、非电解质金属、代谢物和底物、酶、非肽激素、核酸、蛋白质、维生素和微量营养成分、其它等共15大类。本项目拟制定的认可应用说明主要涉及非肽激素和代谢物两大类，涉及的参考测量程序69个，远多于酶学的参考测量程序（6个），涉及的常规临床检验项目众多，是我国临床检验溯源所急需的。进一步深化和规范非肽激素和代谢物领域的参考测量服务，亟需相应的应用说明文件来支持。</w:t>
      </w:r>
    </w:p>
    <w:p w:rsidR="00963A01" w:rsidRDefault="00963A01" w:rsidP="00963A01">
      <w:pPr>
        <w:ind w:firstLine="570"/>
        <w:rPr>
          <w:rFonts w:asciiTheme="minorEastAsia" w:hAnsiTheme="minorEastAsia"/>
          <w:sz w:val="28"/>
          <w:szCs w:val="28"/>
        </w:rPr>
      </w:pPr>
      <w:r w:rsidRPr="00963A01">
        <w:rPr>
          <w:rFonts w:asciiTheme="minorEastAsia" w:hAnsiTheme="minorEastAsia" w:hint="eastAsia"/>
          <w:sz w:val="28"/>
          <w:szCs w:val="28"/>
        </w:rPr>
        <w:t>按照国际检验医学溯源联合委员会（JCTLM）的要求，进入国际医学参考测量网络的实验室应具备以下三个条件：参加国际比对、采用JCTLM公布的参考测量程序和取得ISO/IEC 17025以及ISO15195的认可。编制代谢物和非肽激素参考测量领域核心技术评审要求，对该类实验室进行认可，可为其顺利进入国际网络提供保障；同时也可</w:t>
      </w:r>
      <w:r w:rsidRPr="00963A01">
        <w:rPr>
          <w:rFonts w:asciiTheme="minorEastAsia" w:hAnsiTheme="minorEastAsia" w:hint="eastAsia"/>
          <w:sz w:val="28"/>
          <w:szCs w:val="28"/>
        </w:rPr>
        <w:lastRenderedPageBreak/>
        <w:t>以促进我国临床化学和免疫学参考测量体系的发展，并逐步解决常规医学实验室认可中遇到的临床化学免疫学常规测量结果无法溯源的问题，真正实现医学实验室测量结果的准确和可比。</w:t>
      </w:r>
    </w:p>
    <w:p w:rsidR="00011FD6" w:rsidRPr="00011FD6" w:rsidRDefault="00011FD6" w:rsidP="00011FD6">
      <w:pPr>
        <w:ind w:firstLine="570"/>
        <w:rPr>
          <w:rFonts w:asciiTheme="minorEastAsia" w:hAnsiTheme="minorEastAsia"/>
          <w:sz w:val="28"/>
          <w:szCs w:val="28"/>
        </w:rPr>
      </w:pPr>
      <w:r w:rsidRPr="00011FD6">
        <w:rPr>
          <w:rFonts w:asciiTheme="minorEastAsia" w:hAnsiTheme="minorEastAsia" w:hint="eastAsia"/>
          <w:sz w:val="28"/>
          <w:szCs w:val="28"/>
        </w:rPr>
        <w:t>CNAS-CL01《检测和校准实验室能力认可准则》规定了校准实验室的通用要求，在检验医学领域，该类校准实验室被称为“医学参考测量实验室”，CNAS-CL32《检验医学领域参考测量实验室的特定的认可要求》（ISO 15195，IDT）规定了医学实验室相关的特殊要求。研究编制代谢物和非肽激素参考测量领域的应用说明，作为临床化学、临床免疫学参考测量实验室的认可依据之一，可弥补使用通用认可准则对</w:t>
      </w:r>
      <w:r w:rsidR="00413F10">
        <w:rPr>
          <w:rFonts w:asciiTheme="minorEastAsia" w:hAnsiTheme="minorEastAsia" w:hint="eastAsia"/>
          <w:sz w:val="28"/>
          <w:szCs w:val="28"/>
        </w:rPr>
        <w:t>该</w:t>
      </w:r>
      <w:r w:rsidRPr="00011FD6">
        <w:rPr>
          <w:rFonts w:asciiTheme="minorEastAsia" w:hAnsiTheme="minorEastAsia" w:hint="eastAsia"/>
          <w:sz w:val="28"/>
          <w:szCs w:val="28"/>
        </w:rPr>
        <w:t>专业实验室认可要求的不足。</w:t>
      </w:r>
    </w:p>
    <w:p w:rsidR="00011FD6" w:rsidRPr="00011FD6" w:rsidRDefault="00011FD6" w:rsidP="00011FD6">
      <w:pPr>
        <w:ind w:firstLine="570"/>
        <w:rPr>
          <w:rFonts w:asciiTheme="minorEastAsia" w:hAnsiTheme="minorEastAsia"/>
          <w:sz w:val="28"/>
          <w:szCs w:val="28"/>
        </w:rPr>
      </w:pPr>
      <w:r w:rsidRPr="00011FD6">
        <w:rPr>
          <w:rFonts w:asciiTheme="minorEastAsia" w:hAnsiTheme="minorEastAsia" w:hint="eastAsia"/>
          <w:sz w:val="28"/>
          <w:szCs w:val="28"/>
        </w:rPr>
        <w:t>本文件是根据代谢物和非肽激素析参考测量实验室的特点对CNAS-CL01和CNAS- CL32所做的进一步说明，本文件应与CNAS-CL01和CNAS- CL32共同使用。在结构编排上，本文件章、节的条款号和条款名称均采用CNAS-CL01:2006中章、节条款号和名称。为方便使用，本文件的正文部分列示了CNAS-CL01</w:t>
      </w:r>
      <w:proofErr w:type="gramStart"/>
      <w:r w:rsidRPr="00011FD6">
        <w:rPr>
          <w:rFonts w:asciiTheme="minorEastAsia" w:hAnsiTheme="minorEastAsia" w:hint="eastAsia"/>
          <w:sz w:val="28"/>
          <w:szCs w:val="28"/>
        </w:rPr>
        <w:t>二</w:t>
      </w:r>
      <w:proofErr w:type="gramEnd"/>
      <w:r w:rsidRPr="00011FD6">
        <w:rPr>
          <w:rFonts w:asciiTheme="minorEastAsia" w:hAnsiTheme="minorEastAsia" w:hint="eastAsia"/>
          <w:sz w:val="28"/>
          <w:szCs w:val="28"/>
        </w:rPr>
        <w:t>级（含）以上的条款编号和条款名称，二级以下的条款号是不连续的。</w:t>
      </w:r>
    </w:p>
    <w:p w:rsidR="00011FD6" w:rsidRPr="00011FD6" w:rsidRDefault="00011FD6" w:rsidP="00011FD6">
      <w:pPr>
        <w:ind w:firstLine="570"/>
        <w:rPr>
          <w:rFonts w:asciiTheme="minorEastAsia" w:hAnsiTheme="minorEastAsia"/>
          <w:sz w:val="28"/>
          <w:szCs w:val="28"/>
        </w:rPr>
      </w:pPr>
      <w:r w:rsidRPr="00011FD6">
        <w:rPr>
          <w:rFonts w:asciiTheme="minorEastAsia" w:hAnsiTheme="minorEastAsia" w:hint="eastAsia"/>
          <w:sz w:val="28"/>
          <w:szCs w:val="28"/>
        </w:rPr>
        <w:t>本文件亦是国家质检公益项目《我国医学参考测量体系的建立与示范》（201210066）输出成果的一部分。参与文件编制的合作单位卫生部临检中心、北京航天总医院、四川迈克科技有限公司、广东省中医院、南通医学院、上海临检中心，国家计量院，均结合课题研究，开始建立质谱测量方法并准备开展相关的参考测量服务。上述实验室（除国家计量院外）通过了CNAS医学参考测量实验室认可，建立了</w:t>
      </w:r>
      <w:r w:rsidRPr="00011FD6">
        <w:rPr>
          <w:rFonts w:asciiTheme="minorEastAsia" w:hAnsiTheme="minorEastAsia" w:hint="eastAsia"/>
          <w:sz w:val="28"/>
          <w:szCs w:val="28"/>
        </w:rPr>
        <w:lastRenderedPageBreak/>
        <w:t>规范的运作体系，熟悉CNAS的要求。北京航天总医院、广东省中医院和国家计量院均派人到国外先进实验室较长期地接受质谱测量程序的培训，掌握了关键技术要求。卫生部临床检验中心作为我国临床检验实验室间比对以及正确度验证组织和管理单位，不仅建立了非肽激素以及代谢物的参考测量程序并长期与国外参考实验室的测量结果进行比对，在非</w:t>
      </w:r>
      <w:proofErr w:type="gramStart"/>
      <w:r w:rsidRPr="00011FD6">
        <w:rPr>
          <w:rFonts w:asciiTheme="minorEastAsia" w:hAnsiTheme="minorEastAsia" w:hint="eastAsia"/>
          <w:sz w:val="28"/>
          <w:szCs w:val="28"/>
        </w:rPr>
        <w:t>肽</w:t>
      </w:r>
      <w:proofErr w:type="gramEnd"/>
      <w:r w:rsidRPr="00011FD6">
        <w:rPr>
          <w:rFonts w:asciiTheme="minorEastAsia" w:hAnsiTheme="minorEastAsia" w:hint="eastAsia"/>
          <w:sz w:val="28"/>
          <w:szCs w:val="28"/>
        </w:rPr>
        <w:t>激素和代谢物参考测量方面积累了大量经验，客观上为本文件的编制的科学性和可操作性提供了坚实的保证。</w:t>
      </w:r>
    </w:p>
    <w:p w:rsidR="00011FD6" w:rsidRDefault="00011FD6" w:rsidP="00011FD6">
      <w:pPr>
        <w:ind w:firstLine="570"/>
        <w:rPr>
          <w:rFonts w:asciiTheme="minorEastAsia" w:hAnsiTheme="minorEastAsia"/>
          <w:sz w:val="28"/>
          <w:szCs w:val="28"/>
        </w:rPr>
      </w:pPr>
      <w:r w:rsidRPr="00011FD6">
        <w:rPr>
          <w:rFonts w:asciiTheme="minorEastAsia" w:hAnsiTheme="minorEastAsia" w:hint="eastAsia"/>
          <w:sz w:val="28"/>
          <w:szCs w:val="28"/>
        </w:rPr>
        <w:t>在草案形成的过程中，CNAS和卫生部临床检验中心多次组织业内专家进行了讨论，现将形成的文件</w:t>
      </w:r>
      <w:r>
        <w:rPr>
          <w:rFonts w:asciiTheme="minorEastAsia" w:hAnsiTheme="minorEastAsia" w:hint="eastAsia"/>
          <w:sz w:val="28"/>
          <w:szCs w:val="28"/>
        </w:rPr>
        <w:t>征求意见稿上网公开征求各方意见。</w:t>
      </w:r>
    </w:p>
    <w:p w:rsidR="00E00C05" w:rsidRPr="00E00C05" w:rsidRDefault="00E00C05" w:rsidP="00EF558E">
      <w:pPr>
        <w:ind w:firstLineChars="250" w:firstLine="700"/>
        <w:rPr>
          <w:rFonts w:asciiTheme="minorEastAsia" w:hAnsiTheme="minorEastAsia"/>
          <w:sz w:val="28"/>
          <w:szCs w:val="28"/>
        </w:rPr>
      </w:pPr>
    </w:p>
    <w:p w:rsidR="00B714B5" w:rsidRDefault="00EF558E" w:rsidP="00601EFD">
      <w:pPr>
        <w:rPr>
          <w:rFonts w:asciiTheme="minorEastAsia" w:hAnsiTheme="minorEastAsia"/>
          <w:sz w:val="28"/>
          <w:szCs w:val="28"/>
        </w:rPr>
      </w:pPr>
      <w:r w:rsidRPr="00EF558E">
        <w:rPr>
          <w:rFonts w:asciiTheme="minorEastAsia" w:hAnsiTheme="minorEastAsia" w:hint="eastAsia"/>
          <w:sz w:val="28"/>
          <w:szCs w:val="28"/>
        </w:rPr>
        <w:t xml:space="preserve">                                         </w:t>
      </w:r>
    </w:p>
    <w:p w:rsidR="00601EFD" w:rsidRPr="00EF558E" w:rsidRDefault="00EF558E" w:rsidP="00B714B5">
      <w:pPr>
        <w:ind w:firstLineChars="2000" w:firstLine="5600"/>
        <w:rPr>
          <w:rFonts w:asciiTheme="minorEastAsia" w:hAnsiTheme="minorEastAsia"/>
          <w:sz w:val="28"/>
          <w:szCs w:val="28"/>
        </w:rPr>
      </w:pPr>
      <w:r w:rsidRPr="00EF558E">
        <w:rPr>
          <w:rFonts w:asciiTheme="minorEastAsia" w:hAnsiTheme="minorEastAsia" w:hint="eastAsia"/>
          <w:sz w:val="28"/>
          <w:szCs w:val="28"/>
        </w:rPr>
        <w:t xml:space="preserve">   编写组</w:t>
      </w:r>
    </w:p>
    <w:p w:rsidR="006F0073" w:rsidRPr="00EF558E" w:rsidRDefault="00601EFD" w:rsidP="00601EFD">
      <w:pPr>
        <w:rPr>
          <w:rFonts w:asciiTheme="minorEastAsia" w:hAnsiTheme="minorEastAsia"/>
          <w:sz w:val="28"/>
          <w:szCs w:val="28"/>
        </w:rPr>
      </w:pPr>
      <w:r w:rsidRPr="00EF558E">
        <w:rPr>
          <w:rFonts w:asciiTheme="minorEastAsia" w:hAnsiTheme="minorEastAsia"/>
          <w:sz w:val="28"/>
          <w:szCs w:val="28"/>
        </w:rPr>
        <w:t xml:space="preserve">               </w:t>
      </w:r>
      <w:r w:rsidR="00EF558E" w:rsidRPr="00EF558E">
        <w:rPr>
          <w:rFonts w:asciiTheme="minorEastAsia" w:hAnsiTheme="minorEastAsia"/>
          <w:sz w:val="28"/>
          <w:szCs w:val="28"/>
        </w:rPr>
        <w:t xml:space="preserve">                            201</w:t>
      </w:r>
      <w:r w:rsidR="00011FD6">
        <w:rPr>
          <w:rFonts w:asciiTheme="minorEastAsia" w:hAnsiTheme="minorEastAsia" w:hint="eastAsia"/>
          <w:sz w:val="28"/>
          <w:szCs w:val="28"/>
        </w:rPr>
        <w:t>4</w:t>
      </w:r>
      <w:r w:rsidR="00E00C05">
        <w:rPr>
          <w:rFonts w:asciiTheme="minorEastAsia" w:hAnsiTheme="minorEastAsia"/>
          <w:sz w:val="28"/>
          <w:szCs w:val="28"/>
        </w:rPr>
        <w:t>.</w:t>
      </w:r>
      <w:r w:rsidR="00605459">
        <w:rPr>
          <w:rFonts w:asciiTheme="minorEastAsia" w:hAnsiTheme="minorEastAsia" w:hint="eastAsia"/>
          <w:sz w:val="28"/>
          <w:szCs w:val="28"/>
        </w:rPr>
        <w:t>10</w:t>
      </w:r>
      <w:r w:rsidR="00011FD6">
        <w:rPr>
          <w:rFonts w:asciiTheme="minorEastAsia" w:hAnsiTheme="minorEastAsia"/>
          <w:sz w:val="28"/>
          <w:szCs w:val="28"/>
        </w:rPr>
        <w:t>.</w:t>
      </w:r>
      <w:r w:rsidR="00605459">
        <w:rPr>
          <w:rFonts w:asciiTheme="minorEastAsia" w:hAnsiTheme="minorEastAsia" w:hint="eastAsia"/>
          <w:sz w:val="28"/>
          <w:szCs w:val="28"/>
        </w:rPr>
        <w:t>21</w:t>
      </w:r>
      <w:bookmarkStart w:id="0" w:name="_GoBack"/>
      <w:bookmarkEnd w:id="0"/>
    </w:p>
    <w:sectPr w:rsidR="006F0073" w:rsidRPr="00EF5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E7" w:rsidRDefault="00487DE7" w:rsidP="00605459">
      <w:r>
        <w:separator/>
      </w:r>
    </w:p>
  </w:endnote>
  <w:endnote w:type="continuationSeparator" w:id="0">
    <w:p w:rsidR="00487DE7" w:rsidRDefault="00487DE7" w:rsidP="0060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E7" w:rsidRDefault="00487DE7" w:rsidP="00605459">
      <w:r>
        <w:separator/>
      </w:r>
    </w:p>
  </w:footnote>
  <w:footnote w:type="continuationSeparator" w:id="0">
    <w:p w:rsidR="00487DE7" w:rsidRDefault="00487DE7" w:rsidP="00605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FD"/>
    <w:rsid w:val="00011FD6"/>
    <w:rsid w:val="000166AB"/>
    <w:rsid w:val="00201E0E"/>
    <w:rsid w:val="00413F10"/>
    <w:rsid w:val="00487DE7"/>
    <w:rsid w:val="00601EFD"/>
    <w:rsid w:val="00605459"/>
    <w:rsid w:val="006F0073"/>
    <w:rsid w:val="00753D14"/>
    <w:rsid w:val="007626A9"/>
    <w:rsid w:val="00763B3E"/>
    <w:rsid w:val="00963A01"/>
    <w:rsid w:val="009F7403"/>
    <w:rsid w:val="00A85BFC"/>
    <w:rsid w:val="00B30D21"/>
    <w:rsid w:val="00B714B5"/>
    <w:rsid w:val="00DD4AA3"/>
    <w:rsid w:val="00E00C05"/>
    <w:rsid w:val="00EF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459"/>
    <w:rPr>
      <w:sz w:val="18"/>
      <w:szCs w:val="18"/>
    </w:rPr>
  </w:style>
  <w:style w:type="paragraph" w:styleId="a4">
    <w:name w:val="footer"/>
    <w:basedOn w:val="a"/>
    <w:link w:val="Char0"/>
    <w:uiPriority w:val="99"/>
    <w:unhideWhenUsed/>
    <w:rsid w:val="00605459"/>
    <w:pPr>
      <w:tabs>
        <w:tab w:val="center" w:pos="4153"/>
        <w:tab w:val="right" w:pos="8306"/>
      </w:tabs>
      <w:snapToGrid w:val="0"/>
      <w:jc w:val="left"/>
    </w:pPr>
    <w:rPr>
      <w:sz w:val="18"/>
      <w:szCs w:val="18"/>
    </w:rPr>
  </w:style>
  <w:style w:type="character" w:customStyle="1" w:styleId="Char0">
    <w:name w:val="页脚 Char"/>
    <w:basedOn w:val="a0"/>
    <w:link w:val="a4"/>
    <w:uiPriority w:val="99"/>
    <w:rsid w:val="006054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459"/>
    <w:rPr>
      <w:sz w:val="18"/>
      <w:szCs w:val="18"/>
    </w:rPr>
  </w:style>
  <w:style w:type="paragraph" w:styleId="a4">
    <w:name w:val="footer"/>
    <w:basedOn w:val="a"/>
    <w:link w:val="Char0"/>
    <w:uiPriority w:val="99"/>
    <w:unhideWhenUsed/>
    <w:rsid w:val="00605459"/>
    <w:pPr>
      <w:tabs>
        <w:tab w:val="center" w:pos="4153"/>
        <w:tab w:val="right" w:pos="8306"/>
      </w:tabs>
      <w:snapToGrid w:val="0"/>
      <w:jc w:val="left"/>
    </w:pPr>
    <w:rPr>
      <w:sz w:val="18"/>
      <w:szCs w:val="18"/>
    </w:rPr>
  </w:style>
  <w:style w:type="character" w:customStyle="1" w:styleId="Char0">
    <w:name w:val="页脚 Char"/>
    <w:basedOn w:val="a0"/>
    <w:link w:val="a4"/>
    <w:uiPriority w:val="99"/>
    <w:rsid w:val="00605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shiguanghua</dc:creator>
  <cp:lastModifiedBy>null</cp:lastModifiedBy>
  <cp:revision>9</cp:revision>
  <dcterms:created xsi:type="dcterms:W3CDTF">2013-07-25T08:31:00Z</dcterms:created>
  <dcterms:modified xsi:type="dcterms:W3CDTF">2014-10-21T06:37:00Z</dcterms:modified>
</cp:coreProperties>
</file>