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B4" w:rsidRPr="004865B2" w:rsidRDefault="00423398">
      <w:pPr>
        <w:pStyle w:val="a8"/>
        <w:rPr>
          <w:rFonts w:ascii="宋体" w:eastAsia="宋体" w:hAnsi="宋体"/>
          <w:b/>
          <w:sz w:val="32"/>
          <w:szCs w:val="32"/>
        </w:rPr>
      </w:pPr>
      <w:r w:rsidRPr="004865B2">
        <w:rPr>
          <w:rFonts w:ascii="宋体" w:eastAsia="宋体" w:hAnsi="宋体" w:hint="eastAsia"/>
          <w:b/>
          <w:spacing w:val="6"/>
          <w:sz w:val="32"/>
          <w:szCs w:val="32"/>
        </w:rPr>
        <w:t>《</w:t>
      </w:r>
      <w:r w:rsidR="00F864A3" w:rsidRPr="004865B2">
        <w:rPr>
          <w:rFonts w:ascii="宋体" w:eastAsia="宋体" w:hAnsi="宋体" w:hint="eastAsia"/>
          <w:b/>
          <w:spacing w:val="6"/>
          <w:sz w:val="32"/>
          <w:szCs w:val="32"/>
        </w:rPr>
        <w:t>合格评定  生物样本测量不确定度的评定与表示</w:t>
      </w:r>
      <w:r w:rsidRPr="004865B2">
        <w:rPr>
          <w:rFonts w:ascii="宋体" w:eastAsia="宋体" w:hAnsi="宋体" w:hint="eastAsia"/>
          <w:b/>
          <w:spacing w:val="6"/>
          <w:sz w:val="32"/>
          <w:szCs w:val="32"/>
        </w:rPr>
        <w:t>》</w:t>
      </w:r>
      <w:r w:rsidR="00F864A3" w:rsidRPr="004865B2">
        <w:rPr>
          <w:rFonts w:ascii="宋体" w:eastAsia="宋体" w:hAnsi="宋体" w:hint="eastAsia"/>
          <w:b/>
          <w:spacing w:val="6"/>
          <w:sz w:val="32"/>
          <w:szCs w:val="32"/>
        </w:rPr>
        <w:t>（征求意见稿）</w:t>
      </w:r>
      <w:r w:rsidRPr="004865B2">
        <w:rPr>
          <w:rFonts w:ascii="宋体" w:eastAsia="宋体" w:hAnsi="宋体" w:hint="eastAsia"/>
          <w:b/>
          <w:spacing w:val="6"/>
          <w:sz w:val="32"/>
          <w:szCs w:val="32"/>
        </w:rPr>
        <w:t>编制</w:t>
      </w:r>
      <w:r w:rsidRPr="004865B2">
        <w:rPr>
          <w:rFonts w:ascii="宋体" w:eastAsia="宋体" w:hAnsi="宋体" w:hint="eastAsia"/>
          <w:b/>
          <w:sz w:val="32"/>
          <w:szCs w:val="32"/>
        </w:rPr>
        <w:t>说明</w:t>
      </w:r>
    </w:p>
    <w:p w:rsidR="00F864A3" w:rsidRPr="004865B2" w:rsidRDefault="00F864A3" w:rsidP="00F864A3">
      <w:pPr>
        <w:adjustRightInd w:val="0"/>
        <w:snapToGrid w:val="0"/>
        <w:spacing w:beforeLines="50" w:before="156" w:afterLines="50" w:after="156" w:line="360" w:lineRule="auto"/>
        <w:rPr>
          <w:rFonts w:ascii="宋体" w:hAnsi="宋体"/>
          <w:bCs/>
          <w:kern w:val="10"/>
          <w:sz w:val="24"/>
          <w:szCs w:val="24"/>
        </w:rPr>
      </w:pPr>
    </w:p>
    <w:p w:rsidR="00F864A3" w:rsidRPr="004865B2" w:rsidRDefault="00164429" w:rsidP="00F864A3">
      <w:pPr>
        <w:numPr>
          <w:ilvl w:val="0"/>
          <w:numId w:val="7"/>
        </w:numPr>
        <w:adjustRightInd w:val="0"/>
        <w:snapToGrid w:val="0"/>
        <w:spacing w:beforeLines="50" w:before="156" w:afterLines="50" w:after="156" w:line="360" w:lineRule="auto"/>
        <w:rPr>
          <w:rFonts w:ascii="宋体" w:hAnsi="宋体"/>
          <w:b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/>
          <w:bCs/>
          <w:kern w:val="10"/>
          <w:sz w:val="24"/>
          <w:szCs w:val="24"/>
        </w:rPr>
        <w:t>工作简况</w:t>
      </w:r>
      <w:bookmarkStart w:id="0" w:name="_GoBack"/>
      <w:bookmarkEnd w:id="0"/>
    </w:p>
    <w:p w:rsidR="00F864A3" w:rsidRPr="004865B2" w:rsidRDefault="00F864A3" w:rsidP="00F864A3">
      <w:pPr>
        <w:numPr>
          <w:ilvl w:val="0"/>
          <w:numId w:val="8"/>
        </w:numPr>
        <w:adjustRightInd w:val="0"/>
        <w:snapToGrid w:val="0"/>
        <w:spacing w:beforeLines="50" w:before="156" w:afterLines="50" w:after="156" w:line="360" w:lineRule="auto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任务来源</w:t>
      </w:r>
    </w:p>
    <w:p w:rsidR="00F864A3" w:rsidRPr="004865B2" w:rsidRDefault="00F864A3" w:rsidP="00FE63C5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国标《合格评定  生物样本测量不确定度的评定与表示》由国家标准化管理委员会于2014年</w:t>
      </w:r>
      <w:r w:rsidR="00AA32F7" w:rsidRPr="004865B2">
        <w:rPr>
          <w:rFonts w:ascii="宋体" w:hAnsi="宋体" w:hint="eastAsia"/>
          <w:bCs/>
          <w:kern w:val="10"/>
          <w:sz w:val="24"/>
          <w:szCs w:val="24"/>
        </w:rPr>
        <w:t>3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月下达国家标准制修订任务，任务编号为</w:t>
      </w:r>
      <w:r w:rsidR="004D4B0A" w:rsidRPr="004865B2">
        <w:rPr>
          <w:rFonts w:ascii="宋体" w:hAnsi="宋体"/>
          <w:bCs/>
          <w:kern w:val="10"/>
          <w:sz w:val="24"/>
          <w:szCs w:val="24"/>
        </w:rPr>
        <w:t>20132697-T-469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。</w:t>
      </w:r>
    </w:p>
    <w:p w:rsidR="00F864A3" w:rsidRPr="004865B2" w:rsidRDefault="00F864A3" w:rsidP="00F864A3">
      <w:pPr>
        <w:numPr>
          <w:ilvl w:val="0"/>
          <w:numId w:val="8"/>
        </w:numPr>
        <w:adjustRightInd w:val="0"/>
        <w:snapToGrid w:val="0"/>
        <w:spacing w:beforeLines="50" w:before="156" w:afterLines="50" w:after="156" w:line="360" w:lineRule="auto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协作单位</w:t>
      </w:r>
    </w:p>
    <w:p w:rsidR="00F864A3" w:rsidRPr="004865B2" w:rsidRDefault="004D4B0A" w:rsidP="00FE63C5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协作单位有卫生部临床检验中心、中国计量科学研究院、北京航天总医院、南通大学附属医院、深圳出入境检验检疫局玩具检测中心、国家环境分析测试中心、澳实分析检测（上海）有限公司、中生北控生物科技股份有限公司、上海复星长征医学科学有限公司、上海市临床检验中心、辽宁省检验检疫科学研究院、北京大陆航</w:t>
      </w:r>
      <w:proofErr w:type="gramStart"/>
      <w:r w:rsidRPr="004865B2">
        <w:rPr>
          <w:rFonts w:ascii="宋体" w:hAnsi="宋体" w:hint="eastAsia"/>
          <w:bCs/>
          <w:kern w:val="10"/>
          <w:sz w:val="24"/>
          <w:szCs w:val="24"/>
        </w:rPr>
        <w:t>星质量</w:t>
      </w:r>
      <w:proofErr w:type="gramEnd"/>
      <w:r w:rsidRPr="004865B2">
        <w:rPr>
          <w:rFonts w:ascii="宋体" w:hAnsi="宋体" w:hint="eastAsia"/>
          <w:bCs/>
          <w:kern w:val="10"/>
          <w:sz w:val="24"/>
          <w:szCs w:val="24"/>
        </w:rPr>
        <w:t>认证中心有限公司等。</w:t>
      </w:r>
    </w:p>
    <w:p w:rsidR="00F864A3" w:rsidRPr="004865B2" w:rsidRDefault="00F864A3" w:rsidP="00FE63C5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201</w:t>
      </w:r>
      <w:r w:rsidR="004D4B0A" w:rsidRPr="004865B2">
        <w:rPr>
          <w:rFonts w:ascii="宋体" w:hAnsi="宋体" w:hint="eastAsia"/>
          <w:bCs/>
          <w:kern w:val="10"/>
          <w:sz w:val="24"/>
          <w:szCs w:val="24"/>
        </w:rPr>
        <w:t>4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年</w:t>
      </w:r>
      <w:r w:rsidR="004D4B0A" w:rsidRPr="004865B2">
        <w:rPr>
          <w:rFonts w:ascii="宋体" w:hAnsi="宋体" w:hint="eastAsia"/>
          <w:bCs/>
          <w:kern w:val="10"/>
          <w:sz w:val="24"/>
          <w:szCs w:val="24"/>
        </w:rPr>
        <w:t>4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月，标准牵头单位经过认真酝酿，并经请示SAC/TC261秘书处的同意，成立了国家标准《</w:t>
      </w:r>
      <w:r w:rsidR="004D4B0A" w:rsidRPr="004865B2">
        <w:rPr>
          <w:rFonts w:ascii="宋体" w:hAnsi="宋体" w:hint="eastAsia"/>
          <w:bCs/>
          <w:kern w:val="10"/>
          <w:sz w:val="24"/>
          <w:szCs w:val="24"/>
        </w:rPr>
        <w:t>合格评定  生物样本测量不确定度的评定与表示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》起草组。</w:t>
      </w:r>
    </w:p>
    <w:p w:rsidR="00E62BC9" w:rsidRPr="004865B2" w:rsidRDefault="00F864A3" w:rsidP="00FE63C5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201</w:t>
      </w:r>
      <w:r w:rsidR="00E62BC9" w:rsidRPr="004865B2">
        <w:rPr>
          <w:rFonts w:ascii="宋体" w:hAnsi="宋体" w:hint="eastAsia"/>
          <w:bCs/>
          <w:kern w:val="10"/>
          <w:sz w:val="24"/>
          <w:szCs w:val="24"/>
        </w:rPr>
        <w:t>4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年</w:t>
      </w:r>
      <w:r w:rsidR="00E62BC9" w:rsidRPr="004865B2">
        <w:rPr>
          <w:rFonts w:ascii="宋体" w:hAnsi="宋体" w:hint="eastAsia"/>
          <w:bCs/>
          <w:kern w:val="10"/>
          <w:sz w:val="24"/>
          <w:szCs w:val="24"/>
        </w:rPr>
        <w:t>4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月编写组在</w:t>
      </w:r>
      <w:r w:rsidR="00E62BC9" w:rsidRPr="004865B2">
        <w:rPr>
          <w:rFonts w:ascii="宋体" w:hAnsi="宋体" w:hint="eastAsia"/>
          <w:bCs/>
          <w:kern w:val="10"/>
          <w:sz w:val="24"/>
          <w:szCs w:val="24"/>
        </w:rPr>
        <w:t>北京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召开了标准编制的首次会议。</w:t>
      </w:r>
      <w:r w:rsidR="00E62BC9" w:rsidRPr="004865B2">
        <w:rPr>
          <w:rFonts w:ascii="宋体" w:hAnsi="宋体" w:hint="eastAsia"/>
          <w:bCs/>
          <w:kern w:val="10"/>
          <w:sz w:val="24"/>
          <w:szCs w:val="24"/>
        </w:rPr>
        <w:t>会议主要就标准编写的内容达成如下共识：本标准的编写要体现出计量学与临床检验的有机结合，在计量学理论基础上，研究编制符合医学检测特点的不确定度评估方法；标准应满足国标的定位，基础、通用和公益性，医学实验室包括临床医学和预防医学两大类，分布在各个行业，不仅满足认可的工作需求，也要考虑各行各业医学类实验室对对测量不确定度评定的需求，要兼顾但重点也要突出；国标要有自己的特色，自主研发，不与现行的国际和国家标准等同或冲突；标准要易懂、实用，在科学的基础上兼顾简化；标准中使用的名词术语要符合VIM的要求，同时考虑医学领域中约定俗成的叫法，考虑引入一些新的术语，如室内复现性等；6.标准的框架以方法（如溯源性）特征分类，明确针对一类方法的评定程序，必须考虑的</w:t>
      </w:r>
      <w:r w:rsidR="00E62BC9" w:rsidRPr="004865B2">
        <w:rPr>
          <w:rFonts w:ascii="宋体" w:hAnsi="宋体" w:hint="eastAsia"/>
          <w:bCs/>
          <w:kern w:val="10"/>
          <w:sz w:val="24"/>
          <w:szCs w:val="24"/>
        </w:rPr>
        <w:lastRenderedPageBreak/>
        <w:t>影响分量，典型案例等；</w:t>
      </w:r>
      <w:r w:rsidR="00E62BC9" w:rsidRPr="004865B2">
        <w:rPr>
          <w:rFonts w:ascii="宋体" w:hAnsi="宋体" w:hint="eastAsia"/>
          <w:bCs/>
          <w:kern w:val="10"/>
          <w:sz w:val="24"/>
          <w:szCs w:val="24"/>
        </w:rPr>
        <w:tab/>
        <w:t xml:space="preserve">不确定度评估的对象主要针对定量检测的项目参数，暂不考虑定性检验项目；标准以经典的GUM原则为理论基础，包括各种结构化的评定程序，如top-down方法等，以科学实用为依据，重点解决偏倚问题。 </w:t>
      </w:r>
    </w:p>
    <w:p w:rsidR="003A7AD7" w:rsidRPr="004865B2" w:rsidRDefault="002B2F80" w:rsidP="00FE63C5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会议同时</w:t>
      </w:r>
      <w:r w:rsidR="003A7AD7" w:rsidRPr="004865B2">
        <w:rPr>
          <w:rFonts w:ascii="宋体" w:hAnsi="宋体" w:hint="eastAsia"/>
          <w:bCs/>
          <w:kern w:val="10"/>
          <w:sz w:val="24"/>
          <w:szCs w:val="24"/>
        </w:rPr>
        <w:t>对标准内容的编制做出了分工。</w:t>
      </w:r>
    </w:p>
    <w:p w:rsidR="001B51C1" w:rsidRPr="004865B2" w:rsidRDefault="00AA32F7" w:rsidP="00FE63C5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2014年6月和10月标准起草组分别在江苏南通和北京分别举行第二次和第三次会议，会议就标准的内容和编写框架达成一致性意见。</w:t>
      </w:r>
    </w:p>
    <w:p w:rsidR="00C27100" w:rsidRPr="004865B2" w:rsidRDefault="00AA32F7" w:rsidP="00FE63C5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2015年6月</w:t>
      </w:r>
      <w:r w:rsidR="001809B3" w:rsidRPr="004865B2">
        <w:rPr>
          <w:rFonts w:ascii="宋体" w:hAnsi="宋体" w:hint="eastAsia"/>
          <w:bCs/>
          <w:kern w:val="10"/>
          <w:sz w:val="24"/>
          <w:szCs w:val="24"/>
        </w:rPr>
        <w:t>和7月</w:t>
      </w:r>
      <w:r w:rsidR="00030B05" w:rsidRPr="004865B2">
        <w:rPr>
          <w:rFonts w:ascii="宋体" w:hAnsi="宋体" w:hint="eastAsia"/>
          <w:bCs/>
          <w:kern w:val="10"/>
          <w:sz w:val="24"/>
          <w:szCs w:val="24"/>
        </w:rPr>
        <w:t>标准起草组</w:t>
      </w:r>
      <w:r w:rsidR="001809B3" w:rsidRPr="004865B2">
        <w:rPr>
          <w:rFonts w:ascii="宋体" w:hAnsi="宋体" w:hint="eastAsia"/>
          <w:bCs/>
          <w:kern w:val="10"/>
          <w:sz w:val="24"/>
          <w:szCs w:val="24"/>
        </w:rPr>
        <w:t>分别</w:t>
      </w:r>
      <w:r w:rsidR="00030B05" w:rsidRPr="004865B2">
        <w:rPr>
          <w:rFonts w:ascii="宋体" w:hAnsi="宋体" w:hint="eastAsia"/>
          <w:bCs/>
          <w:kern w:val="10"/>
          <w:sz w:val="24"/>
          <w:szCs w:val="24"/>
        </w:rPr>
        <w:t>在温州</w:t>
      </w:r>
      <w:r w:rsidR="001809B3" w:rsidRPr="004865B2">
        <w:rPr>
          <w:rFonts w:ascii="宋体" w:hAnsi="宋体" w:hint="eastAsia"/>
          <w:bCs/>
          <w:kern w:val="10"/>
          <w:sz w:val="24"/>
          <w:szCs w:val="24"/>
        </w:rPr>
        <w:t>和合肥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召开</w:t>
      </w:r>
      <w:r w:rsidR="001809B3" w:rsidRPr="004865B2">
        <w:rPr>
          <w:rFonts w:ascii="宋体" w:hAnsi="宋体" w:hint="eastAsia"/>
          <w:bCs/>
          <w:kern w:val="10"/>
          <w:sz w:val="24"/>
          <w:szCs w:val="24"/>
        </w:rPr>
        <w:t>了</w:t>
      </w:r>
      <w:r w:rsidR="00030B05" w:rsidRPr="004865B2">
        <w:rPr>
          <w:rFonts w:ascii="宋体" w:hAnsi="宋体" w:hint="eastAsia"/>
          <w:bCs/>
          <w:kern w:val="10"/>
          <w:sz w:val="24"/>
          <w:szCs w:val="24"/>
        </w:rPr>
        <w:t>标准的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第四次会议</w:t>
      </w:r>
      <w:r w:rsidR="001809B3" w:rsidRPr="004865B2">
        <w:rPr>
          <w:rFonts w:ascii="宋体" w:hAnsi="宋体" w:hint="eastAsia"/>
          <w:bCs/>
          <w:kern w:val="10"/>
          <w:sz w:val="24"/>
          <w:szCs w:val="24"/>
        </w:rPr>
        <w:t>和第五次会议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，主要就标准</w:t>
      </w:r>
      <w:r w:rsidR="00030B05" w:rsidRPr="004865B2">
        <w:rPr>
          <w:rFonts w:ascii="宋体" w:hAnsi="宋体" w:hint="eastAsia"/>
          <w:bCs/>
          <w:kern w:val="10"/>
          <w:sz w:val="24"/>
          <w:szCs w:val="24"/>
        </w:rPr>
        <w:t>的草案进行了认真细致的研讨，在对草案稿</w:t>
      </w:r>
      <w:r w:rsidR="00C27100" w:rsidRPr="004865B2">
        <w:rPr>
          <w:rFonts w:ascii="宋体" w:hAnsi="宋体" w:hint="eastAsia"/>
          <w:bCs/>
          <w:kern w:val="10"/>
          <w:sz w:val="24"/>
          <w:szCs w:val="24"/>
        </w:rPr>
        <w:t>逐条讨论</w:t>
      </w:r>
      <w:r w:rsidR="00030B05" w:rsidRPr="004865B2">
        <w:rPr>
          <w:rFonts w:ascii="宋体" w:hAnsi="宋体" w:hint="eastAsia"/>
          <w:bCs/>
          <w:kern w:val="10"/>
          <w:sz w:val="24"/>
          <w:szCs w:val="24"/>
        </w:rPr>
        <w:t>的基础上</w:t>
      </w:r>
      <w:r w:rsidR="00C27100" w:rsidRPr="004865B2">
        <w:rPr>
          <w:rFonts w:ascii="宋体" w:hAnsi="宋体" w:hint="eastAsia"/>
          <w:bCs/>
          <w:kern w:val="10"/>
          <w:sz w:val="24"/>
          <w:szCs w:val="24"/>
        </w:rPr>
        <w:t>,形成基本共识，同意此稿的基本框架和内容。</w:t>
      </w:r>
      <w:r w:rsidR="00030B05" w:rsidRPr="004865B2">
        <w:rPr>
          <w:rFonts w:ascii="宋体" w:hAnsi="宋体" w:hint="eastAsia"/>
          <w:bCs/>
          <w:kern w:val="10"/>
          <w:sz w:val="24"/>
          <w:szCs w:val="24"/>
        </w:rPr>
        <w:t>此外，编写组着重讨论了案例的设置，</w:t>
      </w:r>
      <w:r w:rsidR="001809B3" w:rsidRPr="004865B2">
        <w:rPr>
          <w:rFonts w:ascii="宋体" w:hAnsi="宋体" w:hint="eastAsia"/>
          <w:bCs/>
          <w:kern w:val="10"/>
          <w:sz w:val="24"/>
          <w:szCs w:val="24"/>
        </w:rPr>
        <w:t>不确定度评估的步骤、形式，解决了</w:t>
      </w:r>
      <w:r w:rsidR="00030B05" w:rsidRPr="004865B2">
        <w:rPr>
          <w:rFonts w:ascii="宋体" w:hAnsi="宋体" w:hint="eastAsia"/>
          <w:bCs/>
          <w:kern w:val="10"/>
          <w:sz w:val="24"/>
          <w:szCs w:val="24"/>
        </w:rPr>
        <w:t>其中</w:t>
      </w:r>
      <w:r w:rsidR="001809B3" w:rsidRPr="004865B2">
        <w:rPr>
          <w:rFonts w:ascii="宋体" w:hAnsi="宋体" w:hint="eastAsia"/>
          <w:bCs/>
          <w:kern w:val="10"/>
          <w:sz w:val="24"/>
          <w:szCs w:val="24"/>
        </w:rPr>
        <w:t>有关计算的一些</w:t>
      </w:r>
      <w:r w:rsidR="00030B05" w:rsidRPr="004865B2">
        <w:rPr>
          <w:rFonts w:ascii="宋体" w:hAnsi="宋体" w:hint="eastAsia"/>
          <w:bCs/>
          <w:kern w:val="10"/>
          <w:sz w:val="24"/>
          <w:szCs w:val="24"/>
        </w:rPr>
        <w:t>具体技术问题</w:t>
      </w:r>
      <w:r w:rsidR="001809B3" w:rsidRPr="004865B2">
        <w:rPr>
          <w:rFonts w:ascii="宋体" w:hAnsi="宋体" w:hint="eastAsia"/>
          <w:bCs/>
          <w:kern w:val="10"/>
          <w:sz w:val="24"/>
          <w:szCs w:val="24"/>
        </w:rPr>
        <w:t>。</w:t>
      </w:r>
    </w:p>
    <w:p w:rsidR="00F864A3" w:rsidRPr="004865B2" w:rsidRDefault="001809B3" w:rsidP="00FE63C5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此后，标准起草组的部分专家</w:t>
      </w:r>
      <w:r w:rsidR="009769BA" w:rsidRPr="004865B2">
        <w:rPr>
          <w:rFonts w:ascii="宋体" w:hAnsi="宋体" w:hint="eastAsia"/>
          <w:bCs/>
          <w:kern w:val="10"/>
          <w:sz w:val="24"/>
          <w:szCs w:val="24"/>
        </w:rPr>
        <w:t>以不同形式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对形成的草案稿又进行多次的沟通，对标准的形式、文字措辞进行了反复的润色和修改，结合新版的JJF1001和JJF1059</w:t>
      </w:r>
      <w:r w:rsidR="00A13465" w:rsidRPr="004865B2">
        <w:rPr>
          <w:rFonts w:ascii="宋体" w:hAnsi="宋体" w:hint="eastAsia"/>
          <w:bCs/>
          <w:kern w:val="10"/>
          <w:sz w:val="24"/>
          <w:szCs w:val="24"/>
        </w:rPr>
        <w:t>对草案的内容又做了进一步的补充和完善，</w:t>
      </w:r>
      <w:r w:rsidR="009769BA" w:rsidRPr="004865B2">
        <w:rPr>
          <w:rFonts w:ascii="宋体" w:hAnsi="宋体" w:hint="eastAsia"/>
          <w:bCs/>
          <w:kern w:val="10"/>
          <w:sz w:val="24"/>
          <w:szCs w:val="24"/>
        </w:rPr>
        <w:t>最后形成标准的征求意见稿。</w:t>
      </w:r>
    </w:p>
    <w:p w:rsidR="00F864A3" w:rsidRPr="004865B2" w:rsidRDefault="00F864A3" w:rsidP="00F864A3">
      <w:pPr>
        <w:numPr>
          <w:ilvl w:val="0"/>
          <w:numId w:val="7"/>
        </w:numPr>
        <w:adjustRightInd w:val="0"/>
        <w:snapToGrid w:val="0"/>
        <w:spacing w:beforeLines="50" w:before="156" w:afterLines="50" w:after="156" w:line="360" w:lineRule="auto"/>
        <w:rPr>
          <w:rFonts w:ascii="宋体" w:hAnsi="宋体"/>
          <w:b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/>
          <w:bCs/>
          <w:kern w:val="10"/>
          <w:sz w:val="24"/>
          <w:szCs w:val="24"/>
        </w:rPr>
        <w:t xml:space="preserve">国家标准编制原则和确定国家标准主要内容(如技术指标、参数、公式、性能要求、试验方法、检验规则等)的论据(包括试验、统计数据)，修订国家标准时，应增列新旧国家标准水平的对比； </w:t>
      </w:r>
    </w:p>
    <w:p w:rsidR="00F864A3" w:rsidRPr="004865B2" w:rsidRDefault="00F864A3" w:rsidP="00164429">
      <w:pPr>
        <w:adjustRightInd w:val="0"/>
        <w:snapToGrid w:val="0"/>
        <w:spacing w:beforeLines="50" w:before="156" w:afterLines="50" w:after="156" w:line="360" w:lineRule="auto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1、标准编制的原则：</w:t>
      </w:r>
    </w:p>
    <w:p w:rsidR="00F864A3" w:rsidRPr="004865B2" w:rsidRDefault="00F864A3" w:rsidP="00FE63C5">
      <w:pPr>
        <w:adjustRightInd w:val="0"/>
        <w:snapToGrid w:val="0"/>
        <w:spacing w:beforeLines="50" w:before="156" w:afterLines="50" w:after="156" w:line="360" w:lineRule="auto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1</w:t>
      </w:r>
      <w:r w:rsidR="00D40EA1" w:rsidRPr="004865B2">
        <w:rPr>
          <w:rFonts w:ascii="宋体" w:hAnsi="宋体" w:hint="eastAsia"/>
          <w:bCs/>
          <w:kern w:val="10"/>
          <w:sz w:val="24"/>
          <w:szCs w:val="24"/>
        </w:rPr>
        <w:t>）先进性原则：标准的编制立足于与国际接轨，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瞄准</w:t>
      </w:r>
      <w:r w:rsidR="00D40EA1" w:rsidRPr="004865B2">
        <w:rPr>
          <w:rFonts w:ascii="宋体" w:hAnsi="宋体" w:hint="eastAsia"/>
          <w:bCs/>
          <w:kern w:val="10"/>
          <w:sz w:val="24"/>
          <w:szCs w:val="24"/>
        </w:rPr>
        <w:t>与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国际先进的经验和做法</w:t>
      </w:r>
      <w:r w:rsidR="00D40EA1" w:rsidRPr="004865B2">
        <w:rPr>
          <w:rFonts w:ascii="宋体" w:hAnsi="宋体" w:hint="eastAsia"/>
          <w:bCs/>
          <w:kern w:val="10"/>
          <w:sz w:val="24"/>
          <w:szCs w:val="24"/>
        </w:rPr>
        <w:t>相一致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。</w:t>
      </w:r>
      <w:r w:rsidR="008E0FB0" w:rsidRPr="004865B2">
        <w:rPr>
          <w:rFonts w:ascii="宋体" w:hAnsi="宋体" w:hint="eastAsia"/>
          <w:bCs/>
          <w:kern w:val="10"/>
          <w:sz w:val="24"/>
          <w:szCs w:val="24"/>
        </w:rPr>
        <w:t>要突出重点，要有特色，但还不与现行的国际和国家标准等同或冲突。</w:t>
      </w:r>
    </w:p>
    <w:p w:rsidR="00423F82" w:rsidRPr="004865B2" w:rsidRDefault="00F864A3" w:rsidP="00FE63C5">
      <w:pPr>
        <w:adjustRightInd w:val="0"/>
        <w:snapToGrid w:val="0"/>
        <w:spacing w:beforeLines="50" w:before="156" w:afterLines="50" w:after="156" w:line="360" w:lineRule="auto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2）</w:t>
      </w:r>
      <w:r w:rsidR="00423F82" w:rsidRPr="004865B2">
        <w:rPr>
          <w:rFonts w:ascii="宋体" w:hAnsi="宋体" w:hint="eastAsia"/>
          <w:bCs/>
          <w:kern w:val="10"/>
          <w:sz w:val="24"/>
          <w:szCs w:val="24"/>
        </w:rPr>
        <w:t>实用性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原则：</w:t>
      </w:r>
      <w:r w:rsidR="00944390" w:rsidRPr="004865B2">
        <w:rPr>
          <w:rFonts w:ascii="宋体" w:hAnsi="宋体" w:hint="eastAsia"/>
          <w:bCs/>
          <w:kern w:val="10"/>
          <w:sz w:val="24"/>
          <w:szCs w:val="24"/>
        </w:rPr>
        <w:t>标准的内容要符合医学检验的特点，要易懂，实用，</w:t>
      </w:r>
      <w:r w:rsidR="008E0FB0" w:rsidRPr="004865B2">
        <w:rPr>
          <w:rFonts w:ascii="宋体" w:hAnsi="宋体" w:hint="eastAsia"/>
          <w:bCs/>
          <w:kern w:val="10"/>
          <w:sz w:val="24"/>
          <w:szCs w:val="24"/>
        </w:rPr>
        <w:t>要考虑各行各业医学类实验室</w:t>
      </w:r>
      <w:r w:rsidR="00944390" w:rsidRPr="004865B2">
        <w:rPr>
          <w:rFonts w:ascii="宋体" w:hAnsi="宋体" w:hint="eastAsia"/>
          <w:bCs/>
          <w:kern w:val="10"/>
          <w:sz w:val="24"/>
          <w:szCs w:val="24"/>
        </w:rPr>
        <w:t>对测量不确定度评定的需求。</w:t>
      </w:r>
    </w:p>
    <w:p w:rsidR="00F864A3" w:rsidRPr="004865B2" w:rsidRDefault="00F864A3" w:rsidP="00FE63C5">
      <w:pPr>
        <w:adjustRightInd w:val="0"/>
        <w:snapToGrid w:val="0"/>
        <w:spacing w:beforeLines="50" w:before="156" w:afterLines="50" w:after="156" w:line="360" w:lineRule="auto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3) 编写的规范性原则：</w:t>
      </w:r>
      <w:r w:rsidR="00423F82" w:rsidRPr="004865B2">
        <w:rPr>
          <w:rFonts w:ascii="宋体" w:hAnsi="宋体" w:hint="eastAsia"/>
          <w:bCs/>
          <w:kern w:val="10"/>
          <w:sz w:val="24"/>
          <w:szCs w:val="24"/>
        </w:rPr>
        <w:t>主要体现在内容的规范和形式的规范两个方面。在内容上，标准的编写要体现出计量学的有机结合，要在在计量学理论基础上，研究编制符合医学检测特点的不确定度评估方法；在形式</w:t>
      </w:r>
      <w:r w:rsidR="00D40EA1" w:rsidRPr="004865B2">
        <w:rPr>
          <w:rFonts w:ascii="宋体" w:hAnsi="宋体" w:hint="eastAsia"/>
          <w:bCs/>
          <w:kern w:val="10"/>
          <w:sz w:val="24"/>
          <w:szCs w:val="24"/>
        </w:rPr>
        <w:t>上</w:t>
      </w:r>
      <w:r w:rsidR="00423F82" w:rsidRPr="004865B2">
        <w:rPr>
          <w:rFonts w:ascii="宋体" w:hAnsi="宋体" w:hint="eastAsia"/>
          <w:bCs/>
          <w:kern w:val="10"/>
          <w:sz w:val="24"/>
          <w:szCs w:val="24"/>
        </w:rPr>
        <w:t>，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标准的编写格式应符合GB1.1《标准化工作导则 第1部分标准的结构和编写规则》的要求，另外，该标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lastRenderedPageBreak/>
        <w:t>准属于合格评定的范畴，术语和定义应与GB/T27000《合格评定 词汇和通用原则》保持一致。</w:t>
      </w:r>
    </w:p>
    <w:p w:rsidR="00F864A3" w:rsidRPr="004865B2" w:rsidRDefault="00F864A3" w:rsidP="00D40EA1">
      <w:pPr>
        <w:adjustRightInd w:val="0"/>
        <w:snapToGrid w:val="0"/>
        <w:spacing w:beforeLines="50" w:before="156" w:afterLines="50" w:after="156" w:line="360" w:lineRule="auto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2、标准编制的主要技术内容：</w:t>
      </w:r>
    </w:p>
    <w:p w:rsidR="00F864A3" w:rsidRPr="004865B2" w:rsidRDefault="00944390" w:rsidP="00FE63C5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本标准主要技术内容包括</w:t>
      </w:r>
      <w:r w:rsidR="00F864A3" w:rsidRPr="004865B2">
        <w:rPr>
          <w:rFonts w:ascii="宋体" w:hAnsi="宋体" w:hint="eastAsia"/>
          <w:bCs/>
          <w:kern w:val="10"/>
          <w:sz w:val="24"/>
          <w:szCs w:val="24"/>
        </w:rPr>
        <w:t>八章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四个附录。</w:t>
      </w:r>
      <w:r w:rsidR="00F864A3" w:rsidRPr="004865B2">
        <w:rPr>
          <w:rFonts w:ascii="宋体" w:hAnsi="宋体" w:hint="eastAsia"/>
          <w:bCs/>
          <w:kern w:val="10"/>
          <w:sz w:val="24"/>
          <w:szCs w:val="24"/>
        </w:rPr>
        <w:t>分别为：</w:t>
      </w:r>
    </w:p>
    <w:p w:rsidR="00A11369" w:rsidRPr="004865B2" w:rsidRDefault="00A11369" w:rsidP="00FE63C5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第五章 测量概述部分：分别概述了医学测量结果的计量学溯源性的5种类型和影响测量结果不确定性的主要因素。</w:t>
      </w:r>
    </w:p>
    <w:p w:rsidR="00803C39" w:rsidRPr="004865B2" w:rsidRDefault="00A11369" w:rsidP="00FE63C5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第六章 测量不确定度的评定方法：</w:t>
      </w:r>
      <w:r w:rsidR="00803C39" w:rsidRPr="004865B2">
        <w:rPr>
          <w:rFonts w:ascii="宋体" w:hAnsi="宋体" w:hint="eastAsia"/>
          <w:bCs/>
          <w:kern w:val="10"/>
          <w:sz w:val="24"/>
          <w:szCs w:val="24"/>
        </w:rPr>
        <w:t>概述了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适合于生物样本的不确定度评定方法：“自下而上”的方法、“自上而下”的方法和蒙特卡罗方法</w:t>
      </w:r>
      <w:r w:rsidR="00803C39" w:rsidRPr="004865B2">
        <w:rPr>
          <w:rFonts w:ascii="宋体" w:hAnsi="宋体" w:hint="eastAsia"/>
          <w:bCs/>
          <w:kern w:val="10"/>
          <w:sz w:val="24"/>
          <w:szCs w:val="24"/>
        </w:rPr>
        <w:t>，强调了上述三种方法原则的一致性。规定了测量不确定度的A类评定和B类评定的使用、</w:t>
      </w:r>
      <w:r w:rsidR="00D52DE0" w:rsidRPr="004865B2">
        <w:rPr>
          <w:rFonts w:ascii="宋体" w:hAnsi="宋体" w:hint="eastAsia"/>
          <w:bCs/>
          <w:kern w:val="10"/>
          <w:sz w:val="24"/>
          <w:szCs w:val="24"/>
        </w:rPr>
        <w:t>不确定度的合成、</w:t>
      </w:r>
      <w:r w:rsidR="00803C39" w:rsidRPr="004865B2">
        <w:rPr>
          <w:rFonts w:ascii="宋体" w:hAnsi="宋体" w:hint="eastAsia"/>
          <w:bCs/>
          <w:kern w:val="10"/>
          <w:sz w:val="24"/>
          <w:szCs w:val="24"/>
        </w:rPr>
        <w:t>扩展和不确定度的表示等。</w:t>
      </w:r>
    </w:p>
    <w:p w:rsidR="00944390" w:rsidRPr="004865B2" w:rsidRDefault="00803C39" w:rsidP="00FE63C5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 xml:space="preserve">第七章 </w:t>
      </w:r>
      <w:r w:rsidR="00944390" w:rsidRPr="004865B2">
        <w:rPr>
          <w:rFonts w:ascii="宋体" w:hAnsi="宋体" w:hint="eastAsia"/>
          <w:bCs/>
          <w:kern w:val="10"/>
          <w:sz w:val="24"/>
          <w:szCs w:val="24"/>
        </w:rPr>
        <w:t>参考测量程序测量结果的不确定度评定和表示</w:t>
      </w:r>
      <w:r w:rsidR="00E4230A" w:rsidRPr="004865B2">
        <w:rPr>
          <w:rFonts w:ascii="宋体" w:hAnsi="宋体" w:hint="eastAsia"/>
          <w:bCs/>
          <w:kern w:val="10"/>
          <w:sz w:val="24"/>
          <w:szCs w:val="24"/>
        </w:rPr>
        <w:t>：分别规定了参考测量实验室的不确定度评定</w:t>
      </w:r>
      <w:r w:rsidR="00944390" w:rsidRPr="004865B2">
        <w:rPr>
          <w:rFonts w:ascii="宋体" w:hAnsi="宋体" w:hint="eastAsia"/>
          <w:bCs/>
          <w:kern w:val="10"/>
          <w:sz w:val="24"/>
          <w:szCs w:val="24"/>
        </w:rPr>
        <w:t>要求</w:t>
      </w:r>
      <w:r w:rsidR="00E4230A" w:rsidRPr="004865B2">
        <w:rPr>
          <w:rFonts w:ascii="宋体" w:hAnsi="宋体" w:hint="eastAsia"/>
          <w:bCs/>
          <w:kern w:val="10"/>
          <w:sz w:val="24"/>
          <w:szCs w:val="24"/>
        </w:rPr>
        <w:t>、</w:t>
      </w:r>
      <w:r w:rsidR="00944390" w:rsidRPr="004865B2">
        <w:rPr>
          <w:rFonts w:ascii="宋体" w:hAnsi="宋体" w:hint="eastAsia"/>
          <w:bCs/>
          <w:kern w:val="10"/>
          <w:sz w:val="24"/>
          <w:szCs w:val="24"/>
        </w:rPr>
        <w:t>测量不确定度的潜在来源和控制要求</w:t>
      </w:r>
      <w:r w:rsidR="00E4230A" w:rsidRPr="004865B2">
        <w:rPr>
          <w:rFonts w:ascii="宋体" w:hAnsi="宋体" w:hint="eastAsia"/>
          <w:bCs/>
          <w:kern w:val="10"/>
          <w:sz w:val="24"/>
          <w:szCs w:val="24"/>
        </w:rPr>
        <w:t>、</w:t>
      </w:r>
      <w:r w:rsidR="00944390" w:rsidRPr="004865B2">
        <w:rPr>
          <w:rFonts w:ascii="宋体" w:hAnsi="宋体" w:hint="eastAsia"/>
          <w:bCs/>
          <w:kern w:val="10"/>
          <w:sz w:val="24"/>
          <w:szCs w:val="24"/>
        </w:rPr>
        <w:t>测量不确定度评定策略</w:t>
      </w:r>
      <w:r w:rsidR="00E4230A" w:rsidRPr="004865B2">
        <w:rPr>
          <w:rFonts w:ascii="宋体" w:hAnsi="宋体" w:hint="eastAsia"/>
          <w:bCs/>
          <w:kern w:val="10"/>
          <w:sz w:val="24"/>
          <w:szCs w:val="24"/>
        </w:rPr>
        <w:t>、</w:t>
      </w:r>
      <w:r w:rsidR="00944390" w:rsidRPr="004865B2">
        <w:rPr>
          <w:rFonts w:ascii="宋体" w:hAnsi="宋体" w:hint="eastAsia"/>
          <w:bCs/>
          <w:kern w:val="10"/>
          <w:sz w:val="24"/>
          <w:szCs w:val="24"/>
        </w:rPr>
        <w:t>测量结果及不确定度表示</w:t>
      </w:r>
      <w:r w:rsidR="00E4230A" w:rsidRPr="004865B2">
        <w:rPr>
          <w:rFonts w:ascii="宋体" w:hAnsi="宋体" w:hint="eastAsia"/>
          <w:bCs/>
          <w:kern w:val="10"/>
          <w:sz w:val="24"/>
          <w:szCs w:val="24"/>
        </w:rPr>
        <w:t>和</w:t>
      </w:r>
      <w:r w:rsidR="00944390" w:rsidRPr="004865B2">
        <w:rPr>
          <w:rFonts w:ascii="宋体" w:hAnsi="宋体" w:hint="eastAsia"/>
          <w:bCs/>
          <w:kern w:val="10"/>
          <w:sz w:val="24"/>
          <w:szCs w:val="24"/>
        </w:rPr>
        <w:t>对测量不确定度的评审和再评定</w:t>
      </w:r>
      <w:r w:rsidR="00E4230A" w:rsidRPr="004865B2">
        <w:rPr>
          <w:rFonts w:ascii="宋体" w:hAnsi="宋体" w:hint="eastAsia"/>
          <w:bCs/>
          <w:kern w:val="10"/>
          <w:sz w:val="24"/>
          <w:szCs w:val="24"/>
        </w:rPr>
        <w:t>等内容。</w:t>
      </w:r>
    </w:p>
    <w:p w:rsidR="00E4230A" w:rsidRPr="004865B2" w:rsidRDefault="00E4230A" w:rsidP="00FE63C5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 xml:space="preserve">第八章 </w:t>
      </w:r>
      <w:r w:rsidR="00944390" w:rsidRPr="004865B2">
        <w:rPr>
          <w:rFonts w:ascii="宋体" w:hAnsi="宋体" w:hint="eastAsia"/>
          <w:bCs/>
          <w:kern w:val="10"/>
          <w:sz w:val="24"/>
          <w:szCs w:val="24"/>
        </w:rPr>
        <w:t>常规测量程序测量结果的不确定度评定和表示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；规定了常规测量</w:t>
      </w:r>
      <w:r w:rsidR="00944390" w:rsidRPr="004865B2">
        <w:rPr>
          <w:rFonts w:ascii="宋体" w:hAnsi="宋体" w:hint="eastAsia"/>
          <w:bCs/>
          <w:kern w:val="10"/>
          <w:sz w:val="24"/>
          <w:szCs w:val="24"/>
        </w:rPr>
        <w:t>不确定度评定的要求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、</w:t>
      </w:r>
      <w:r w:rsidR="00944390" w:rsidRPr="004865B2">
        <w:rPr>
          <w:rFonts w:ascii="宋体" w:hAnsi="宋体" w:hint="eastAsia"/>
          <w:bCs/>
          <w:kern w:val="10"/>
          <w:sz w:val="24"/>
          <w:szCs w:val="24"/>
        </w:rPr>
        <w:t>测量不确定度的潜在来源和控制要求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、</w:t>
      </w:r>
      <w:r w:rsidR="00944390" w:rsidRPr="004865B2">
        <w:rPr>
          <w:rFonts w:ascii="宋体" w:hAnsi="宋体" w:hint="eastAsia"/>
          <w:bCs/>
          <w:kern w:val="10"/>
          <w:sz w:val="24"/>
          <w:szCs w:val="24"/>
        </w:rPr>
        <w:t>测量不确定度评定策略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、</w:t>
      </w:r>
      <w:r w:rsidR="00944390" w:rsidRPr="004865B2">
        <w:rPr>
          <w:rFonts w:ascii="宋体" w:hAnsi="宋体" w:hint="eastAsia"/>
          <w:bCs/>
          <w:kern w:val="10"/>
          <w:sz w:val="24"/>
          <w:szCs w:val="24"/>
        </w:rPr>
        <w:t>测量结果及不确定度表示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和</w:t>
      </w:r>
      <w:r w:rsidR="00944390" w:rsidRPr="004865B2">
        <w:rPr>
          <w:rFonts w:ascii="宋体" w:hAnsi="宋体" w:hint="eastAsia"/>
          <w:bCs/>
          <w:kern w:val="10"/>
          <w:sz w:val="24"/>
          <w:szCs w:val="24"/>
        </w:rPr>
        <w:t>对测量不确定度的评审和再评定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等内容。</w:t>
      </w:r>
    </w:p>
    <w:p w:rsidR="00944390" w:rsidRPr="004865B2" w:rsidRDefault="00944390" w:rsidP="00E4230A">
      <w:pPr>
        <w:adjustRightInd w:val="0"/>
        <w:snapToGrid w:val="0"/>
        <w:spacing w:beforeLines="50" w:before="156" w:afterLines="50" w:after="156" w:line="360" w:lineRule="auto"/>
        <w:ind w:left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附录A</w:t>
      </w:r>
      <w:r w:rsidR="00E4230A" w:rsidRPr="004865B2">
        <w:rPr>
          <w:rFonts w:ascii="宋体" w:hAnsi="宋体" w:hint="eastAsia"/>
          <w:bCs/>
          <w:kern w:val="10"/>
          <w:sz w:val="24"/>
          <w:szCs w:val="24"/>
        </w:rPr>
        <w:t>，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资料性附录</w:t>
      </w:r>
      <w:r w:rsidR="00E4230A" w:rsidRPr="004865B2">
        <w:rPr>
          <w:rFonts w:ascii="宋体" w:hAnsi="宋体" w:hint="eastAsia"/>
          <w:bCs/>
          <w:kern w:val="10"/>
          <w:sz w:val="24"/>
          <w:szCs w:val="24"/>
        </w:rPr>
        <w:t>，介绍了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本标准所使用的约定和符号</w:t>
      </w:r>
      <w:r w:rsidR="00E4230A" w:rsidRPr="004865B2">
        <w:rPr>
          <w:rFonts w:ascii="宋体" w:hAnsi="宋体" w:hint="eastAsia"/>
          <w:bCs/>
          <w:kern w:val="10"/>
          <w:sz w:val="24"/>
          <w:szCs w:val="24"/>
        </w:rPr>
        <w:t>。</w:t>
      </w:r>
    </w:p>
    <w:p w:rsidR="00944390" w:rsidRPr="004865B2" w:rsidRDefault="00944390" w:rsidP="00E4230A">
      <w:pPr>
        <w:adjustRightInd w:val="0"/>
        <w:snapToGrid w:val="0"/>
        <w:spacing w:beforeLines="50" w:before="156" w:afterLines="50" w:after="156" w:line="360" w:lineRule="auto"/>
        <w:ind w:left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附录B</w:t>
      </w:r>
      <w:r w:rsidR="00E4230A" w:rsidRPr="004865B2">
        <w:rPr>
          <w:rFonts w:ascii="宋体" w:hAnsi="宋体" w:hint="eastAsia"/>
          <w:bCs/>
          <w:kern w:val="10"/>
          <w:sz w:val="24"/>
          <w:szCs w:val="24"/>
        </w:rPr>
        <w:t>，资料性附录，列出了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常用的置信水平p值、包含因子k值和t值</w:t>
      </w:r>
      <w:r w:rsidR="00E4230A" w:rsidRPr="004865B2">
        <w:rPr>
          <w:rFonts w:ascii="宋体" w:hAnsi="宋体" w:hint="eastAsia"/>
          <w:bCs/>
          <w:kern w:val="10"/>
          <w:sz w:val="24"/>
          <w:szCs w:val="24"/>
        </w:rPr>
        <w:t>。</w:t>
      </w:r>
    </w:p>
    <w:p w:rsidR="00E4230A" w:rsidRPr="004865B2" w:rsidRDefault="00944390" w:rsidP="00E4230A">
      <w:pPr>
        <w:adjustRightInd w:val="0"/>
        <w:snapToGrid w:val="0"/>
        <w:spacing w:beforeLines="50" w:before="156" w:afterLines="50" w:after="156" w:line="360" w:lineRule="auto"/>
        <w:ind w:left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附录C</w:t>
      </w:r>
      <w:r w:rsidR="00F07078" w:rsidRPr="004865B2">
        <w:rPr>
          <w:rFonts w:ascii="宋体" w:hAnsi="宋体" w:hint="eastAsia"/>
          <w:bCs/>
          <w:kern w:val="10"/>
          <w:sz w:val="24"/>
          <w:szCs w:val="24"/>
        </w:rPr>
        <w:t>，</w:t>
      </w:r>
      <w:r w:rsidR="00E4230A" w:rsidRPr="004865B2">
        <w:rPr>
          <w:rFonts w:ascii="宋体" w:hAnsi="宋体" w:hint="eastAsia"/>
          <w:bCs/>
          <w:kern w:val="10"/>
          <w:sz w:val="24"/>
          <w:szCs w:val="24"/>
        </w:rPr>
        <w:t>列出了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B类评定的标准不确定度分量的自由度计算</w:t>
      </w:r>
      <w:r w:rsidR="00E4230A" w:rsidRPr="004865B2">
        <w:rPr>
          <w:rFonts w:ascii="宋体" w:hAnsi="宋体" w:hint="eastAsia"/>
          <w:bCs/>
          <w:kern w:val="10"/>
          <w:sz w:val="24"/>
          <w:szCs w:val="24"/>
        </w:rPr>
        <w:t>公式。</w:t>
      </w:r>
    </w:p>
    <w:p w:rsidR="00944390" w:rsidRPr="004865B2" w:rsidRDefault="00944390" w:rsidP="00E4230A">
      <w:pPr>
        <w:adjustRightInd w:val="0"/>
        <w:snapToGrid w:val="0"/>
        <w:spacing w:beforeLines="50" w:before="156" w:afterLines="50" w:after="156" w:line="360" w:lineRule="auto"/>
        <w:ind w:left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附录</w:t>
      </w:r>
      <w:r w:rsidR="00E4230A" w:rsidRPr="004865B2">
        <w:rPr>
          <w:rFonts w:ascii="宋体" w:hAnsi="宋体" w:hint="eastAsia"/>
          <w:bCs/>
          <w:kern w:val="10"/>
          <w:sz w:val="24"/>
          <w:szCs w:val="24"/>
        </w:rPr>
        <w:t>D，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资料性附录</w:t>
      </w:r>
      <w:r w:rsidR="00E4230A" w:rsidRPr="004865B2">
        <w:rPr>
          <w:rFonts w:ascii="宋体" w:hAnsi="宋体" w:hint="eastAsia"/>
          <w:bCs/>
          <w:kern w:val="10"/>
          <w:sz w:val="24"/>
          <w:szCs w:val="24"/>
        </w:rPr>
        <w:t>，分别列出利用bottom-up方法、top-down方法和蒙特卡罗方法进行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测量不确定</w:t>
      </w:r>
      <w:r w:rsidR="00E4230A" w:rsidRPr="004865B2">
        <w:rPr>
          <w:rFonts w:ascii="宋体" w:hAnsi="宋体" w:hint="eastAsia"/>
          <w:bCs/>
          <w:kern w:val="10"/>
          <w:sz w:val="24"/>
          <w:szCs w:val="24"/>
        </w:rPr>
        <w:t>度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评定</w:t>
      </w:r>
      <w:r w:rsidR="00E4230A" w:rsidRPr="004865B2">
        <w:rPr>
          <w:rFonts w:ascii="宋体" w:hAnsi="宋体" w:hint="eastAsia"/>
          <w:bCs/>
          <w:kern w:val="10"/>
          <w:sz w:val="24"/>
          <w:szCs w:val="24"/>
        </w:rPr>
        <w:t>的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示例</w:t>
      </w:r>
      <w:r w:rsidR="00E4230A" w:rsidRPr="004865B2">
        <w:rPr>
          <w:rFonts w:ascii="宋体" w:hAnsi="宋体" w:hint="eastAsia"/>
          <w:bCs/>
          <w:kern w:val="10"/>
          <w:sz w:val="24"/>
          <w:szCs w:val="24"/>
        </w:rPr>
        <w:t>供读者参考使用。</w:t>
      </w:r>
    </w:p>
    <w:p w:rsidR="00F864A3" w:rsidRPr="004865B2" w:rsidRDefault="00F864A3" w:rsidP="00F864A3">
      <w:pPr>
        <w:numPr>
          <w:ilvl w:val="0"/>
          <w:numId w:val="7"/>
        </w:numPr>
        <w:adjustRightInd w:val="0"/>
        <w:snapToGrid w:val="0"/>
        <w:spacing w:beforeLines="50" w:before="156" w:afterLines="50" w:after="156" w:line="360" w:lineRule="auto"/>
        <w:rPr>
          <w:rFonts w:ascii="宋体" w:hAnsi="宋体"/>
          <w:b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/>
          <w:bCs/>
          <w:kern w:val="10"/>
          <w:sz w:val="24"/>
          <w:szCs w:val="24"/>
        </w:rPr>
        <w:t xml:space="preserve">主要试验(或验证)的分析、综述报告，技术经济论证，预期的经济效果； </w:t>
      </w:r>
    </w:p>
    <w:p w:rsidR="00F864A3" w:rsidRPr="004865B2" w:rsidRDefault="00F864A3" w:rsidP="00FE63C5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标准编制工作组收集到了国际主要的相关标准，</w:t>
      </w:r>
      <w:r w:rsidR="00F07078" w:rsidRPr="004865B2">
        <w:rPr>
          <w:rFonts w:ascii="宋体" w:hAnsi="宋体" w:hint="eastAsia"/>
          <w:bCs/>
          <w:kern w:val="10"/>
          <w:sz w:val="24"/>
          <w:szCs w:val="24"/>
        </w:rPr>
        <w:t>并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进行了认真研究、提炼和比对分析。在标准的编制过程中充分听取了相关专家和相关</w:t>
      </w:r>
      <w:r w:rsidR="000F1873" w:rsidRPr="004865B2">
        <w:rPr>
          <w:rFonts w:ascii="宋体" w:hAnsi="宋体" w:hint="eastAsia"/>
          <w:bCs/>
          <w:kern w:val="10"/>
          <w:sz w:val="24"/>
          <w:szCs w:val="24"/>
        </w:rPr>
        <w:t>单位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的意见，并进行了适用性评估，得到了较高的评价。</w:t>
      </w:r>
    </w:p>
    <w:p w:rsidR="00F864A3" w:rsidRPr="004865B2" w:rsidRDefault="00F864A3" w:rsidP="00FE63C5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lastRenderedPageBreak/>
        <w:t>标准编制的协作单位均是</w:t>
      </w:r>
      <w:r w:rsidR="000F1873" w:rsidRPr="004865B2">
        <w:rPr>
          <w:rFonts w:ascii="宋体" w:hAnsi="宋体" w:hint="eastAsia"/>
          <w:bCs/>
          <w:kern w:val="10"/>
          <w:sz w:val="24"/>
          <w:szCs w:val="24"/>
        </w:rPr>
        <w:t>在不确定度评定方面有着多年的研究积累和实践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。标准的主要内容</w:t>
      </w:r>
      <w:r w:rsidR="000F1873" w:rsidRPr="004865B2">
        <w:rPr>
          <w:rFonts w:ascii="宋体" w:hAnsi="宋体" w:hint="eastAsia"/>
          <w:bCs/>
          <w:kern w:val="10"/>
          <w:sz w:val="24"/>
          <w:szCs w:val="24"/>
        </w:rPr>
        <w:t>参考了国外既有的研究成果，也</w:t>
      </w:r>
      <w:r w:rsidRPr="004865B2">
        <w:rPr>
          <w:rFonts w:ascii="宋体" w:hAnsi="宋体" w:hint="eastAsia"/>
          <w:bCs/>
          <w:kern w:val="10"/>
          <w:sz w:val="24"/>
          <w:szCs w:val="24"/>
        </w:rPr>
        <w:t>源于实践经验、科研成果或经过验证和运行，保证了本标准的适宜性。</w:t>
      </w:r>
    </w:p>
    <w:p w:rsidR="00F864A3" w:rsidRPr="004865B2" w:rsidRDefault="00F864A3" w:rsidP="00FE63C5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标准编制工作组经过多次研讨、论证和完善本标准，认为已经基本达到了立项宗旨和编制要求，现申请更广泛地征求意见，以期全面完善本标准。</w:t>
      </w:r>
    </w:p>
    <w:p w:rsidR="00F864A3" w:rsidRPr="004865B2" w:rsidRDefault="000F1873" w:rsidP="00FE63C5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北京航天总医院、南通大学附属医院、深圳出入境检验检疫局玩具检测中心，依据本标准进行了不确定度的评估</w:t>
      </w:r>
      <w:r w:rsidR="00F864A3" w:rsidRPr="004865B2">
        <w:rPr>
          <w:rFonts w:ascii="宋体" w:hAnsi="宋体" w:hint="eastAsia"/>
          <w:bCs/>
          <w:kern w:val="10"/>
          <w:sz w:val="24"/>
          <w:szCs w:val="24"/>
        </w:rPr>
        <w:t>，验证了本标准的适宜性。</w:t>
      </w:r>
    </w:p>
    <w:p w:rsidR="000F1873" w:rsidRPr="004865B2" w:rsidRDefault="00F864A3" w:rsidP="00F864A3">
      <w:pPr>
        <w:numPr>
          <w:ilvl w:val="0"/>
          <w:numId w:val="7"/>
        </w:numPr>
        <w:adjustRightInd w:val="0"/>
        <w:snapToGrid w:val="0"/>
        <w:spacing w:beforeLines="50" w:before="156" w:afterLines="50" w:after="156" w:line="360" w:lineRule="auto"/>
        <w:rPr>
          <w:rFonts w:ascii="宋体" w:hAnsi="宋体"/>
          <w:b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/>
          <w:bCs/>
          <w:kern w:val="10"/>
          <w:sz w:val="24"/>
          <w:szCs w:val="24"/>
        </w:rPr>
        <w:t>采用国际标准和国外先进标准的程度，以及与国际、国外同类标准水平的对比情况，或与测试的国外样品、样机的有关数据对比情况；</w:t>
      </w:r>
    </w:p>
    <w:p w:rsidR="00F864A3" w:rsidRPr="004865B2" w:rsidRDefault="000F1873" w:rsidP="000F1873">
      <w:pPr>
        <w:adjustRightInd w:val="0"/>
        <w:snapToGrid w:val="0"/>
        <w:spacing w:beforeLines="50" w:before="156" w:afterLines="50" w:after="156" w:line="360" w:lineRule="auto"/>
        <w:ind w:left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无</w:t>
      </w:r>
      <w:r w:rsidR="00F864A3" w:rsidRPr="004865B2">
        <w:rPr>
          <w:rFonts w:ascii="宋体" w:hAnsi="宋体" w:hint="eastAsia"/>
          <w:bCs/>
          <w:kern w:val="10"/>
          <w:sz w:val="24"/>
          <w:szCs w:val="24"/>
        </w:rPr>
        <w:t xml:space="preserve">　</w:t>
      </w:r>
    </w:p>
    <w:p w:rsidR="00F864A3" w:rsidRPr="004865B2" w:rsidRDefault="00F864A3" w:rsidP="00F864A3">
      <w:pPr>
        <w:numPr>
          <w:ilvl w:val="0"/>
          <w:numId w:val="7"/>
        </w:numPr>
        <w:adjustRightInd w:val="0"/>
        <w:snapToGrid w:val="0"/>
        <w:spacing w:beforeLines="50" w:before="156" w:afterLines="50" w:after="156" w:line="360" w:lineRule="auto"/>
        <w:rPr>
          <w:rFonts w:ascii="宋体" w:hAnsi="宋体"/>
          <w:b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/>
          <w:bCs/>
          <w:kern w:val="10"/>
          <w:sz w:val="24"/>
          <w:szCs w:val="24"/>
        </w:rPr>
        <w:t xml:space="preserve">与有关的现行法律、法规和强制性国家标准的关系； </w:t>
      </w:r>
    </w:p>
    <w:p w:rsidR="00F864A3" w:rsidRPr="004865B2" w:rsidRDefault="00F864A3" w:rsidP="00F864A3">
      <w:pPr>
        <w:adjustRightInd w:val="0"/>
        <w:snapToGrid w:val="0"/>
        <w:spacing w:beforeLines="50" w:before="156" w:afterLines="50" w:after="156" w:line="360" w:lineRule="auto"/>
        <w:ind w:left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 xml:space="preserve">无　</w:t>
      </w:r>
    </w:p>
    <w:p w:rsidR="00F864A3" w:rsidRPr="004865B2" w:rsidRDefault="00F864A3" w:rsidP="00F864A3">
      <w:pPr>
        <w:numPr>
          <w:ilvl w:val="0"/>
          <w:numId w:val="7"/>
        </w:numPr>
        <w:adjustRightInd w:val="0"/>
        <w:snapToGrid w:val="0"/>
        <w:spacing w:beforeLines="50" w:before="156" w:afterLines="50" w:after="156" w:line="360" w:lineRule="auto"/>
        <w:rPr>
          <w:rFonts w:ascii="宋体" w:hAnsi="宋体"/>
          <w:b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/>
          <w:bCs/>
          <w:kern w:val="10"/>
          <w:sz w:val="24"/>
          <w:szCs w:val="24"/>
        </w:rPr>
        <w:t xml:space="preserve">重大分歧意见的处理经过和依据； </w:t>
      </w:r>
    </w:p>
    <w:p w:rsidR="00F864A3" w:rsidRPr="004865B2" w:rsidRDefault="00F864A3" w:rsidP="00F864A3">
      <w:pPr>
        <w:adjustRightInd w:val="0"/>
        <w:snapToGrid w:val="0"/>
        <w:spacing w:beforeLines="50" w:before="156" w:afterLines="50" w:after="156" w:line="360" w:lineRule="auto"/>
        <w:ind w:left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无</w:t>
      </w:r>
    </w:p>
    <w:p w:rsidR="00F864A3" w:rsidRPr="004865B2" w:rsidRDefault="00F864A3" w:rsidP="00F864A3">
      <w:pPr>
        <w:numPr>
          <w:ilvl w:val="0"/>
          <w:numId w:val="7"/>
        </w:numPr>
        <w:adjustRightInd w:val="0"/>
        <w:snapToGrid w:val="0"/>
        <w:spacing w:beforeLines="50" w:before="156" w:afterLines="50" w:after="156" w:line="360" w:lineRule="auto"/>
        <w:rPr>
          <w:rFonts w:ascii="宋体" w:hAnsi="宋体"/>
          <w:b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/>
          <w:bCs/>
          <w:kern w:val="10"/>
          <w:sz w:val="24"/>
          <w:szCs w:val="24"/>
        </w:rPr>
        <w:t xml:space="preserve">国家标准作为强制性国家标准或推荐性国家标准的建议； </w:t>
      </w:r>
    </w:p>
    <w:p w:rsidR="00F864A3" w:rsidRPr="004865B2" w:rsidRDefault="00F864A3" w:rsidP="00F864A3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建议本标准作为一种推荐性的国家标准使用。</w:t>
      </w:r>
    </w:p>
    <w:p w:rsidR="00F864A3" w:rsidRPr="004865B2" w:rsidRDefault="00F864A3" w:rsidP="00F864A3">
      <w:pPr>
        <w:numPr>
          <w:ilvl w:val="0"/>
          <w:numId w:val="7"/>
        </w:numPr>
        <w:adjustRightInd w:val="0"/>
        <w:snapToGrid w:val="0"/>
        <w:spacing w:beforeLines="50" w:before="156" w:afterLines="50" w:after="156" w:line="360" w:lineRule="auto"/>
        <w:rPr>
          <w:rFonts w:ascii="宋体" w:hAnsi="宋体" w:hint="eastAsia"/>
          <w:b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/>
          <w:bCs/>
          <w:kern w:val="10"/>
          <w:sz w:val="24"/>
          <w:szCs w:val="24"/>
        </w:rPr>
        <w:t>贯彻国家标准的要求和措施建议(包括组织措施、技术措施、过渡办法等内容)；</w:t>
      </w:r>
    </w:p>
    <w:p w:rsidR="00F07078" w:rsidRPr="004865B2" w:rsidRDefault="00F07078" w:rsidP="00F07078">
      <w:pPr>
        <w:adjustRightInd w:val="0"/>
        <w:snapToGrid w:val="0"/>
        <w:spacing w:beforeLines="50" w:before="156" w:afterLines="50" w:after="156" w:line="360" w:lineRule="auto"/>
        <w:ind w:left="480"/>
        <w:rPr>
          <w:rFonts w:ascii="宋体" w:hAnsi="宋体"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Cs/>
          <w:kern w:val="10"/>
          <w:sz w:val="24"/>
          <w:szCs w:val="24"/>
        </w:rPr>
        <w:t>无</w:t>
      </w:r>
    </w:p>
    <w:p w:rsidR="00F864A3" w:rsidRPr="004865B2" w:rsidRDefault="00F864A3" w:rsidP="000F1873">
      <w:pPr>
        <w:numPr>
          <w:ilvl w:val="0"/>
          <w:numId w:val="7"/>
        </w:numPr>
        <w:adjustRightInd w:val="0"/>
        <w:snapToGrid w:val="0"/>
        <w:spacing w:beforeLines="50" w:before="156" w:afterLines="50" w:after="156" w:line="360" w:lineRule="auto"/>
        <w:rPr>
          <w:rFonts w:ascii="宋体" w:hAnsi="宋体"/>
          <w:b/>
          <w:bCs/>
          <w:kern w:val="10"/>
          <w:sz w:val="24"/>
          <w:szCs w:val="24"/>
        </w:rPr>
      </w:pPr>
      <w:r w:rsidRPr="004865B2">
        <w:rPr>
          <w:rFonts w:ascii="宋体" w:hAnsi="宋体" w:hint="eastAsia"/>
          <w:b/>
          <w:bCs/>
          <w:kern w:val="10"/>
          <w:sz w:val="24"/>
          <w:szCs w:val="24"/>
        </w:rPr>
        <w:t xml:space="preserve">废止现行有关标准的建议； </w:t>
      </w:r>
    </w:p>
    <w:sectPr w:rsidR="00F864A3" w:rsidRPr="004865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B2" w:rsidRDefault="004865B2" w:rsidP="00F864A3">
      <w:r>
        <w:separator/>
      </w:r>
    </w:p>
  </w:endnote>
  <w:endnote w:type="continuationSeparator" w:id="0">
    <w:p w:rsidR="004865B2" w:rsidRDefault="004865B2" w:rsidP="00F8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B2" w:rsidRDefault="004865B2" w:rsidP="00F864A3">
      <w:r>
        <w:separator/>
      </w:r>
    </w:p>
  </w:footnote>
  <w:footnote w:type="continuationSeparator" w:id="0">
    <w:p w:rsidR="004865B2" w:rsidRDefault="004865B2" w:rsidP="00F8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BA9"/>
    <w:multiLevelType w:val="hybridMultilevel"/>
    <w:tmpl w:val="D9A2ABEA"/>
    <w:lvl w:ilvl="0" w:tplc="45202CFA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F0C2544"/>
    <w:multiLevelType w:val="multilevel"/>
    <w:tmpl w:val="2F0C2544"/>
    <w:lvl w:ilvl="0">
      <w:start w:val="1"/>
      <w:numFmt w:val="japaneseCounting"/>
      <w:lvlText w:val="%1、"/>
      <w:lvlJc w:val="left"/>
      <w:pPr>
        <w:tabs>
          <w:tab w:val="left" w:pos="862"/>
        </w:tabs>
        <w:ind w:left="862" w:hanging="720"/>
      </w:pPr>
      <w:rPr>
        <w:rFonts w:hint="default"/>
      </w:rPr>
    </w:lvl>
    <w:lvl w:ilvl="1" w:tentative="1">
      <w:start w:val="1"/>
      <w:numFmt w:val="chineseCountingThousand"/>
      <w:lvlText w:val="(%2)"/>
      <w:lvlJc w:val="left"/>
      <w:pPr>
        <w:tabs>
          <w:tab w:val="left" w:pos="982"/>
        </w:tabs>
        <w:ind w:left="982" w:hanging="420"/>
      </w:pPr>
      <w:rPr>
        <w:rFonts w:hint="default"/>
      </w:rPr>
    </w:lvl>
    <w:lvl w:ilvl="2" w:tentative="1">
      <w:start w:val="1"/>
      <w:numFmt w:val="decimal"/>
      <w:lvlText w:val="%3．"/>
      <w:lvlJc w:val="left"/>
      <w:pPr>
        <w:tabs>
          <w:tab w:val="left" w:pos="1912"/>
        </w:tabs>
        <w:ind w:left="1912" w:hanging="93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</w:lvl>
    <w:lvl w:ilvl="6" w:tentative="1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</w:lvl>
  </w:abstractNum>
  <w:abstractNum w:abstractNumId="2">
    <w:nsid w:val="3FB704E7"/>
    <w:multiLevelType w:val="multilevel"/>
    <w:tmpl w:val="3FB704E7"/>
    <w:lvl w:ilvl="0">
      <w:start w:val="1"/>
      <w:numFmt w:val="chineseCountingThousand"/>
      <w:lvlText w:val="(%1)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D0F79C7"/>
    <w:multiLevelType w:val="multilevel"/>
    <w:tmpl w:val="4D0F79C7"/>
    <w:lvl w:ilvl="0">
      <w:start w:val="1"/>
      <w:numFmt w:val="chineseCountingThousand"/>
      <w:lvlText w:val="(%1)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E4561AF"/>
    <w:multiLevelType w:val="hybridMultilevel"/>
    <w:tmpl w:val="AA4253D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5046657C"/>
    <w:multiLevelType w:val="hybridMultilevel"/>
    <w:tmpl w:val="84E27C4C"/>
    <w:lvl w:ilvl="0" w:tplc="AF12DB2C">
      <w:start w:val="1"/>
      <w:numFmt w:val="japaneseCounting"/>
      <w:lvlText w:val="(%1)"/>
      <w:lvlJc w:val="left"/>
      <w:pPr>
        <w:ind w:left="480" w:hanging="480"/>
      </w:pPr>
      <w:rPr>
        <w:rFonts w:hint="default"/>
      </w:rPr>
    </w:lvl>
    <w:lvl w:ilvl="1" w:tplc="16844B70">
      <w:start w:val="1"/>
      <w:numFmt w:val="decimal"/>
      <w:lvlText w:val="%2、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091C0A"/>
    <w:multiLevelType w:val="multilevel"/>
    <w:tmpl w:val="55091C0A"/>
    <w:lvl w:ilvl="0">
      <w:start w:val="1"/>
      <w:numFmt w:val="chineseCountingThousand"/>
      <w:lvlText w:val="(%1)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55091C1A"/>
    <w:multiLevelType w:val="singleLevel"/>
    <w:tmpl w:val="55091C1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55091C30"/>
    <w:multiLevelType w:val="singleLevel"/>
    <w:tmpl w:val="55091C3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7AA32050"/>
    <w:multiLevelType w:val="hybridMultilevel"/>
    <w:tmpl w:val="9244ADB6"/>
    <w:lvl w:ilvl="0" w:tplc="F3720C42">
      <w:start w:val="1"/>
      <w:numFmt w:val="japaneseCounting"/>
      <w:lvlText w:val="第%1章"/>
      <w:lvlJc w:val="left"/>
      <w:pPr>
        <w:ind w:left="126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7E4A29E4"/>
    <w:multiLevelType w:val="hybridMultilevel"/>
    <w:tmpl w:val="9C48DD76"/>
    <w:lvl w:ilvl="0" w:tplc="818E81B0">
      <w:start w:val="1"/>
      <w:numFmt w:val="lowerLetter"/>
      <w:lvlText w:val="%1.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4" w:hanging="420"/>
      </w:pPr>
    </w:lvl>
    <w:lvl w:ilvl="2" w:tplc="0409001B" w:tentative="1">
      <w:start w:val="1"/>
      <w:numFmt w:val="lowerRoman"/>
      <w:lvlText w:val="%3."/>
      <w:lvlJc w:val="right"/>
      <w:pPr>
        <w:ind w:left="2544" w:hanging="420"/>
      </w:pPr>
    </w:lvl>
    <w:lvl w:ilvl="3" w:tplc="0409000F" w:tentative="1">
      <w:start w:val="1"/>
      <w:numFmt w:val="decimal"/>
      <w:lvlText w:val="%4."/>
      <w:lvlJc w:val="left"/>
      <w:pPr>
        <w:ind w:left="2964" w:hanging="420"/>
      </w:pPr>
    </w:lvl>
    <w:lvl w:ilvl="4" w:tplc="04090019" w:tentative="1">
      <w:start w:val="1"/>
      <w:numFmt w:val="lowerLetter"/>
      <w:lvlText w:val="%5)"/>
      <w:lvlJc w:val="left"/>
      <w:pPr>
        <w:ind w:left="3384" w:hanging="420"/>
      </w:pPr>
    </w:lvl>
    <w:lvl w:ilvl="5" w:tplc="0409001B" w:tentative="1">
      <w:start w:val="1"/>
      <w:numFmt w:val="lowerRoman"/>
      <w:lvlText w:val="%6."/>
      <w:lvlJc w:val="right"/>
      <w:pPr>
        <w:ind w:left="3804" w:hanging="420"/>
      </w:pPr>
    </w:lvl>
    <w:lvl w:ilvl="6" w:tplc="0409000F" w:tentative="1">
      <w:start w:val="1"/>
      <w:numFmt w:val="decimal"/>
      <w:lvlText w:val="%7."/>
      <w:lvlJc w:val="left"/>
      <w:pPr>
        <w:ind w:left="4224" w:hanging="420"/>
      </w:pPr>
    </w:lvl>
    <w:lvl w:ilvl="7" w:tplc="04090019" w:tentative="1">
      <w:start w:val="1"/>
      <w:numFmt w:val="lowerLetter"/>
      <w:lvlText w:val="%8)"/>
      <w:lvlJc w:val="left"/>
      <w:pPr>
        <w:ind w:left="4644" w:hanging="420"/>
      </w:pPr>
    </w:lvl>
    <w:lvl w:ilvl="8" w:tplc="0409001B" w:tentative="1">
      <w:start w:val="1"/>
      <w:numFmt w:val="lowerRoman"/>
      <w:lvlText w:val="%9."/>
      <w:lvlJc w:val="right"/>
      <w:pPr>
        <w:ind w:left="5064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77F"/>
    <w:rsid w:val="00030B05"/>
    <w:rsid w:val="00032FDB"/>
    <w:rsid w:val="000737DD"/>
    <w:rsid w:val="000E3B0A"/>
    <w:rsid w:val="000F1873"/>
    <w:rsid w:val="00107E9C"/>
    <w:rsid w:val="0014060C"/>
    <w:rsid w:val="00140D30"/>
    <w:rsid w:val="0015314B"/>
    <w:rsid w:val="00164429"/>
    <w:rsid w:val="001809B3"/>
    <w:rsid w:val="001A33BE"/>
    <w:rsid w:val="001B51C1"/>
    <w:rsid w:val="001E5FA8"/>
    <w:rsid w:val="001F2BE8"/>
    <w:rsid w:val="00244B2A"/>
    <w:rsid w:val="00281B1F"/>
    <w:rsid w:val="002A7637"/>
    <w:rsid w:val="002B2F80"/>
    <w:rsid w:val="003955AF"/>
    <w:rsid w:val="003A4450"/>
    <w:rsid w:val="003A7AD7"/>
    <w:rsid w:val="003B7607"/>
    <w:rsid w:val="003C0CB4"/>
    <w:rsid w:val="00411545"/>
    <w:rsid w:val="00423398"/>
    <w:rsid w:val="00423F82"/>
    <w:rsid w:val="00437D01"/>
    <w:rsid w:val="0048164C"/>
    <w:rsid w:val="004865B2"/>
    <w:rsid w:val="004D4B0A"/>
    <w:rsid w:val="004E0832"/>
    <w:rsid w:val="0051647A"/>
    <w:rsid w:val="0053001C"/>
    <w:rsid w:val="00540B52"/>
    <w:rsid w:val="00565FAB"/>
    <w:rsid w:val="00566B2B"/>
    <w:rsid w:val="005E6B60"/>
    <w:rsid w:val="006211F2"/>
    <w:rsid w:val="00622016"/>
    <w:rsid w:val="00634B10"/>
    <w:rsid w:val="006748E3"/>
    <w:rsid w:val="006A35EE"/>
    <w:rsid w:val="00725A2C"/>
    <w:rsid w:val="0077301F"/>
    <w:rsid w:val="007C5FF0"/>
    <w:rsid w:val="007D1A98"/>
    <w:rsid w:val="00803C39"/>
    <w:rsid w:val="00824076"/>
    <w:rsid w:val="0085657D"/>
    <w:rsid w:val="00861906"/>
    <w:rsid w:val="0087058B"/>
    <w:rsid w:val="00893DCE"/>
    <w:rsid w:val="008C3903"/>
    <w:rsid w:val="008E0FB0"/>
    <w:rsid w:val="008E5971"/>
    <w:rsid w:val="008F4256"/>
    <w:rsid w:val="00944390"/>
    <w:rsid w:val="009534B9"/>
    <w:rsid w:val="009769BA"/>
    <w:rsid w:val="00982EB3"/>
    <w:rsid w:val="00986194"/>
    <w:rsid w:val="009864B0"/>
    <w:rsid w:val="00A11369"/>
    <w:rsid w:val="00A13465"/>
    <w:rsid w:val="00A16016"/>
    <w:rsid w:val="00A60A88"/>
    <w:rsid w:val="00A77607"/>
    <w:rsid w:val="00AA32F7"/>
    <w:rsid w:val="00B25B23"/>
    <w:rsid w:val="00B260E1"/>
    <w:rsid w:val="00B85926"/>
    <w:rsid w:val="00B85D6C"/>
    <w:rsid w:val="00BA4F60"/>
    <w:rsid w:val="00BF6782"/>
    <w:rsid w:val="00C1325B"/>
    <w:rsid w:val="00C27100"/>
    <w:rsid w:val="00CC2F50"/>
    <w:rsid w:val="00CD6364"/>
    <w:rsid w:val="00D40EA1"/>
    <w:rsid w:val="00D52DE0"/>
    <w:rsid w:val="00E35778"/>
    <w:rsid w:val="00E4230A"/>
    <w:rsid w:val="00E62BC9"/>
    <w:rsid w:val="00E72E60"/>
    <w:rsid w:val="00F07078"/>
    <w:rsid w:val="00F40887"/>
    <w:rsid w:val="00F7477F"/>
    <w:rsid w:val="00F864A3"/>
    <w:rsid w:val="00FB6D6E"/>
    <w:rsid w:val="00FC043B"/>
    <w:rsid w:val="00FE63C5"/>
    <w:rsid w:val="07047F94"/>
    <w:rsid w:val="0F166238"/>
    <w:rsid w:val="12BF1D5A"/>
    <w:rsid w:val="15B525EA"/>
    <w:rsid w:val="1EB52C70"/>
    <w:rsid w:val="21124CCD"/>
    <w:rsid w:val="26126405"/>
    <w:rsid w:val="2F7708EA"/>
    <w:rsid w:val="2FEC47B3"/>
    <w:rsid w:val="31E02DBE"/>
    <w:rsid w:val="374E39C9"/>
    <w:rsid w:val="38F44BE4"/>
    <w:rsid w:val="420610DF"/>
    <w:rsid w:val="4345644E"/>
    <w:rsid w:val="47100E0E"/>
    <w:rsid w:val="4B434FF0"/>
    <w:rsid w:val="5139571A"/>
    <w:rsid w:val="5CF1718A"/>
    <w:rsid w:val="61B827C1"/>
    <w:rsid w:val="6CF4154E"/>
    <w:rsid w:val="725561A2"/>
    <w:rsid w:val="76F37B1F"/>
    <w:rsid w:val="7A31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unhideWhenUsed/>
  </w:style>
  <w:style w:type="character" w:styleId="a7">
    <w:name w:val="Hyperlink"/>
    <w:unhideWhenUsed/>
    <w:rPr>
      <w:rFonts w:ascii="Times New Roman" w:eastAsia="宋体" w:hAnsi="Times New Roman"/>
      <w:color w:val="auto"/>
      <w:spacing w:val="0"/>
      <w:w w:val="100"/>
      <w:position w:val="0"/>
      <w:sz w:val="21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18">
    <w:name w:val="p18"/>
    <w:basedOn w:val="a"/>
    <w:pPr>
      <w:widowControl/>
      <w:jc w:val="left"/>
    </w:pPr>
    <w:rPr>
      <w:kern w:val="0"/>
      <w:szCs w:val="21"/>
    </w:rPr>
  </w:style>
  <w:style w:type="paragraph" w:customStyle="1" w:styleId="p17">
    <w:name w:val="p17"/>
    <w:basedOn w:val="a"/>
    <w:pPr>
      <w:widowControl/>
      <w:jc w:val="left"/>
    </w:pPr>
    <w:rPr>
      <w:kern w:val="0"/>
      <w:szCs w:val="21"/>
    </w:rPr>
  </w:style>
  <w:style w:type="paragraph" w:customStyle="1" w:styleId="a8">
    <w:name w:val="封面标准名称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9">
    <w:name w:val="标准书脚_奇数页"/>
    <w:pPr>
      <w:spacing w:before="120"/>
      <w:jc w:val="right"/>
    </w:pPr>
    <w:rPr>
      <w:sz w:val="18"/>
    </w:rPr>
  </w:style>
  <w:style w:type="paragraph" w:customStyle="1" w:styleId="aa">
    <w:name w:val="二级条标题"/>
    <w:pPr>
      <w:outlineLvl w:val="3"/>
    </w:pPr>
  </w:style>
  <w:style w:type="paragraph" w:customStyle="1" w:styleId="ab">
    <w:name w:val="封面标准英文名称"/>
    <w:pPr>
      <w:widowControl w:val="0"/>
      <w:spacing w:before="370" w:line="400" w:lineRule="exact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张处：</dc:title>
  <dc:creator>00535</dc:creator>
  <cp:lastModifiedBy>null</cp:lastModifiedBy>
  <cp:revision>29</cp:revision>
  <dcterms:created xsi:type="dcterms:W3CDTF">2015-02-05T02:31:00Z</dcterms:created>
  <dcterms:modified xsi:type="dcterms:W3CDTF">2015-12-11T06:20:00Z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