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2"/>
        <w:rPr>
          <w:rFonts w:hint="eastAsia" w:ascii="黑体" w:eastAsia="黑体"/>
          <w:b/>
          <w:spacing w:val="6"/>
          <w:sz w:val="36"/>
        </w:rPr>
      </w:pPr>
      <w:r>
        <w:rPr>
          <w:rFonts w:hint="eastAsia" w:ascii="黑体" w:eastAsia="黑体"/>
          <w:b/>
          <w:spacing w:val="6"/>
          <w:sz w:val="36"/>
        </w:rPr>
        <w:t>国家标准</w:t>
      </w:r>
      <w:r>
        <w:rPr>
          <w:rFonts w:hint="eastAsia"/>
          <w:b/>
          <w:spacing w:val="6"/>
          <w:sz w:val="36"/>
          <w:lang w:val="en-US" w:eastAsia="zh-CN"/>
        </w:rPr>
        <w:t>GB/T xxxx-201x</w:t>
      </w:r>
    </w:p>
    <w:p>
      <w:pPr>
        <w:pStyle w:val="12"/>
        <w:rPr>
          <w:rFonts w:hint="eastAsia" w:ascii="黑体" w:eastAsia="黑体"/>
          <w:b/>
          <w:spacing w:val="6"/>
          <w:sz w:val="36"/>
        </w:rPr>
      </w:pPr>
      <w:r>
        <w:rPr>
          <w:rFonts w:hint="eastAsia" w:ascii="黑体" w:eastAsia="黑体"/>
          <w:b/>
          <w:spacing w:val="6"/>
          <w:sz w:val="36"/>
        </w:rPr>
        <w:t>《测量不确定度  测量不确定度表示指南》</w:t>
      </w:r>
    </w:p>
    <w:p>
      <w:pPr>
        <w:pStyle w:val="12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pacing w:val="6"/>
          <w:sz w:val="36"/>
        </w:rPr>
        <w:t>编制</w:t>
      </w:r>
      <w:r>
        <w:rPr>
          <w:rFonts w:hint="eastAsia" w:ascii="黑体" w:eastAsia="黑体"/>
          <w:b/>
          <w:sz w:val="36"/>
        </w:rPr>
        <w:t>说明</w:t>
      </w:r>
    </w:p>
    <w:p>
      <w:pPr>
        <w:spacing w:line="288" w:lineRule="auto"/>
        <w:jc w:val="center"/>
        <w:rPr>
          <w:rFonts w:ascii="宋体"/>
          <w:sz w:val="32"/>
        </w:rPr>
      </w:pPr>
    </w:p>
    <w:p>
      <w:pPr>
        <w:numPr>
          <w:ilvl w:val="0"/>
          <w:numId w:val="1"/>
        </w:num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工作简况</w:t>
      </w:r>
    </w:p>
    <w:p>
      <w:pPr>
        <w:numPr>
          <w:ilvl w:val="0"/>
          <w:numId w:val="2"/>
        </w:num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任务来源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本标准的制</w:t>
      </w:r>
      <w:r>
        <w:rPr>
          <w:rFonts w:hint="eastAsia"/>
          <w:sz w:val="24"/>
        </w:rPr>
        <w:t>订</w:t>
      </w:r>
      <w:r>
        <w:rPr>
          <w:sz w:val="24"/>
        </w:rPr>
        <w:t>由中国合格评定国家认可中心提出，2011年列入国家质检总局国家标准制修订计划，计划编号为2011083</w:t>
      </w:r>
      <w:r>
        <w:rPr>
          <w:rFonts w:hint="eastAsia"/>
          <w:sz w:val="24"/>
          <w:lang w:val="en-US" w:eastAsia="zh-CN"/>
        </w:rPr>
        <w:t>7-</w:t>
      </w:r>
      <w:r>
        <w:rPr>
          <w:sz w:val="24"/>
        </w:rPr>
        <w:t>T-469。</w:t>
      </w:r>
    </w:p>
    <w:p>
      <w:pPr>
        <w:numPr>
          <w:ilvl w:val="0"/>
          <w:numId w:val="2"/>
        </w:numPr>
        <w:spacing w:line="360" w:lineRule="auto"/>
        <w:ind w:hangingChars="175"/>
        <w:rPr>
          <w:rFonts w:eastAsia="黑体"/>
          <w:sz w:val="24"/>
        </w:rPr>
      </w:pPr>
      <w:r>
        <w:rPr>
          <w:rFonts w:eastAsia="黑体"/>
          <w:sz w:val="24"/>
        </w:rPr>
        <w:t xml:space="preserve"> 起草工作组的组成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中国合格评定国家认可中心负责本标准的</w:t>
      </w:r>
      <w:r>
        <w:rPr>
          <w:rFonts w:hint="eastAsia"/>
          <w:sz w:val="24"/>
          <w:lang w:eastAsia="zh-CN"/>
        </w:rPr>
        <w:t>起草</w:t>
      </w:r>
      <w:r>
        <w:rPr>
          <w:sz w:val="24"/>
        </w:rPr>
        <w:t>工作。</w:t>
      </w:r>
      <w:r>
        <w:rPr>
          <w:rFonts w:hint="eastAsia"/>
          <w:sz w:val="24"/>
          <w:lang w:eastAsia="zh-CN"/>
        </w:rPr>
        <w:t>参加</w:t>
      </w:r>
      <w:r>
        <w:rPr>
          <w:sz w:val="24"/>
        </w:rPr>
        <w:t>单位和人员如下：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>中国合格评定国家认可中心：张明霞（项目负责人）、林志国、</w:t>
      </w:r>
      <w:r>
        <w:rPr>
          <w:rFonts w:hint="eastAsia"/>
          <w:sz w:val="24"/>
          <w:lang w:eastAsia="zh-CN"/>
        </w:rPr>
        <w:t>吉黎明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中国计量科学研究院</w:t>
      </w:r>
      <w:r>
        <w:rPr>
          <w:rFonts w:hint="eastAsia"/>
          <w:sz w:val="24"/>
          <w:lang w:eastAsia="zh-CN"/>
        </w:rPr>
        <w:t>：施昌彦、王春艳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天津出入境检验检疫局</w:t>
      </w:r>
      <w:r>
        <w:rPr>
          <w:rFonts w:hint="eastAsia"/>
          <w:sz w:val="24"/>
          <w:lang w:eastAsia="zh-CN"/>
        </w:rPr>
        <w:t>：贾小川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北京理工大学</w:t>
      </w:r>
      <w:r>
        <w:rPr>
          <w:rFonts w:hint="eastAsia"/>
          <w:sz w:val="24"/>
          <w:lang w:eastAsia="zh-CN"/>
        </w:rPr>
        <w:t>：陈凌峰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中国船舶重工集团公司第七一五研究所</w:t>
      </w:r>
      <w:r>
        <w:rPr>
          <w:rFonts w:hint="eastAsia"/>
          <w:sz w:val="24"/>
          <w:lang w:eastAsia="zh-CN"/>
        </w:rPr>
        <w:t>：陆渭林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北京长城计量测试技术研究所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宋体" w:hAnsi="宋体"/>
          <w:szCs w:val="21"/>
        </w:rPr>
        <w:t>崔岩梅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任冬梅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中国测试技术研究院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宋体" w:hAnsi="宋体"/>
          <w:szCs w:val="21"/>
        </w:rPr>
        <w:t>刘浩峰</w:t>
      </w:r>
    </w:p>
    <w:p>
      <w:pPr>
        <w:numPr>
          <w:ilvl w:val="0"/>
          <w:numId w:val="2"/>
        </w:numPr>
        <w:spacing w:line="360" w:lineRule="auto"/>
        <w:ind w:hangingChars="175"/>
        <w:rPr>
          <w:rFonts w:eastAsia="黑体"/>
          <w:sz w:val="24"/>
        </w:rPr>
      </w:pPr>
      <w:r>
        <w:rPr>
          <w:rFonts w:eastAsia="黑体"/>
          <w:sz w:val="24"/>
        </w:rPr>
        <w:t xml:space="preserve"> 标准的编制过程</w:t>
      </w:r>
    </w:p>
    <w:p>
      <w:pPr>
        <w:spacing w:line="360" w:lineRule="auto"/>
        <w:ind w:firstLine="480" w:firstLineChars="200"/>
        <w:rPr>
          <w:rFonts w:hAnsi="ˎ̥"/>
          <w:color w:val="0000FF"/>
          <w:sz w:val="24"/>
          <w:highlight w:val="none"/>
        </w:rPr>
      </w:pPr>
      <w:r>
        <w:rPr>
          <w:color w:val="000000"/>
          <w:sz w:val="24"/>
        </w:rPr>
        <w:t>2011</w:t>
      </w:r>
      <w:r>
        <w:rPr>
          <w:rFonts w:hAnsi="ˎ̥"/>
          <w:color w:val="000000"/>
          <w:sz w:val="24"/>
        </w:rPr>
        <w:t>年，</w:t>
      </w:r>
      <w:r>
        <w:rPr>
          <w:rFonts w:hint="eastAsia" w:hAnsi="ˎ̥"/>
          <w:color w:val="000000"/>
          <w:sz w:val="24"/>
          <w:lang w:eastAsia="zh-CN"/>
        </w:rPr>
        <w:t>项目</w:t>
      </w:r>
      <w:r>
        <w:rPr>
          <w:rFonts w:hAnsi="ˎ̥"/>
          <w:color w:val="000000"/>
          <w:sz w:val="24"/>
        </w:rPr>
        <w:t>组召开了第一次工作会议，会上制定了</w:t>
      </w:r>
      <w:r>
        <w:rPr>
          <w:rFonts w:hint="eastAsia" w:hAnsi="ˎ̥"/>
          <w:color w:val="000000"/>
          <w:sz w:val="24"/>
          <w:lang w:eastAsia="zh-CN"/>
        </w:rPr>
        <w:t>编制</w:t>
      </w:r>
      <w:r>
        <w:rPr>
          <w:rFonts w:hAnsi="ˎ̥"/>
          <w:color w:val="000000"/>
          <w:sz w:val="24"/>
        </w:rPr>
        <w:t>工作计划，确定了</w:t>
      </w:r>
      <w:r>
        <w:rPr>
          <w:rFonts w:hint="eastAsia" w:hAnsi="ˎ̥"/>
          <w:color w:val="000000"/>
          <w:sz w:val="24"/>
          <w:lang w:eastAsia="zh-CN"/>
        </w:rPr>
        <w:t>编制</w:t>
      </w:r>
      <w:r>
        <w:rPr>
          <w:rFonts w:hAnsi="ˎ̥"/>
          <w:color w:val="000000"/>
          <w:sz w:val="24"/>
        </w:rPr>
        <w:t>原则并明确了任务分工。</w:t>
      </w:r>
      <w:r>
        <w:rPr>
          <w:rFonts w:hint="eastAsia" w:hAnsi="ˎ̥"/>
          <w:color w:val="000000"/>
          <w:sz w:val="24"/>
          <w:highlight w:val="none"/>
          <w:lang w:eastAsia="zh-CN"/>
        </w:rPr>
        <w:t>按照计划，项目组在</w:t>
      </w:r>
      <w:r>
        <w:rPr>
          <w:rFonts w:hint="eastAsia" w:hAnsi="ˎ̥"/>
          <w:color w:val="000000"/>
          <w:sz w:val="24"/>
          <w:highlight w:val="none"/>
          <w:lang w:val="en-US" w:eastAsia="zh-CN"/>
        </w:rPr>
        <w:t>2012年9月完成国际标准的各部分翻译工作。因国际标准页数较多，翻译工作耗时较长，2013年6月汇总成初稿，经统稿后2014年4月形成草案稿，经过全面校对，2015年2月形成本征求意见稿。现报送TC261公开征求意见。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color w:val="auto"/>
          <w:sz w:val="24"/>
        </w:rPr>
      </w:pPr>
      <w:r>
        <w:rPr>
          <w:rFonts w:eastAsia="黑体"/>
          <w:color w:val="auto"/>
          <w:sz w:val="28"/>
          <w:szCs w:val="28"/>
        </w:rPr>
        <w:t>编制原则</w:t>
      </w:r>
    </w:p>
    <w:p>
      <w:pPr>
        <w:numPr>
          <w:numId w:val="0"/>
        </w:numPr>
        <w:spacing w:line="360" w:lineRule="auto"/>
        <w:ind w:leftChars="0"/>
        <w:rPr>
          <w:color w:val="auto"/>
          <w:sz w:val="24"/>
        </w:rPr>
      </w:pP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  </w:t>
      </w:r>
      <w:r>
        <w:rPr>
          <w:color w:val="auto"/>
          <w:sz w:val="24"/>
        </w:rPr>
        <w:t>本标准等同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 xml:space="preserve">采用ISO/IEC GUIDE 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>98-3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>:200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>8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 xml:space="preserve"> Uncertainty of measurement——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>Guide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 xml:space="preserve"> to the 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>expression of uncertainty in measurement（《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2"/>
          <w:lang w:val="en-US" w:eastAsia="zh-CN" w:bidi="ar-SA"/>
        </w:rPr>
        <w:t>测量不确定度</w:t>
      </w:r>
      <w:r>
        <w:rPr>
          <w:bCs/>
          <w:color w:val="auto"/>
          <w:sz w:val="24"/>
        </w:rPr>
        <w:t xml:space="preserve"> </w:t>
      </w:r>
      <w:r>
        <w:rPr>
          <w:rFonts w:hint="eastAsia"/>
          <w:color w:val="auto"/>
          <w:sz w:val="24"/>
          <w:lang w:eastAsia="zh-CN"/>
        </w:rPr>
        <w:t>测量不确定度表示指南</w:t>
      </w:r>
      <w:r>
        <w:rPr>
          <w:color w:val="auto"/>
          <w:sz w:val="24"/>
        </w:rPr>
        <w:t>》）。</w:t>
      </w:r>
    </w:p>
    <w:p>
      <w:pPr>
        <w:pStyle w:val="4"/>
        <w:spacing w:before="0" w:beforeAutospacing="0" w:after="0" w:afterAutospacing="0" w:line="360" w:lineRule="auto"/>
        <w:ind w:left="479" w:leftChars="22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本标准在起草过程中还参考了以下文件：</w:t>
      </w:r>
    </w:p>
    <w:p>
      <w:pPr>
        <w:pStyle w:val="4"/>
        <w:numPr>
          <w:numId w:val="0"/>
        </w:numPr>
        <w:spacing w:before="0" w:beforeAutospacing="0" w:after="0" w:afterAutospacing="0" w:line="360" w:lineRule="auto"/>
        <w:ind w:leftChars="0" w:firstLine="480" w:firstLineChars="20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 xml:space="preserve">1. </w:t>
      </w:r>
      <w:r>
        <w:rPr>
          <w:rFonts w:ascii="Times New Roman" w:cs="Times New Roman"/>
          <w:color w:val="auto"/>
        </w:rPr>
        <w:t>JJF 1001</w:t>
      </w:r>
      <w:r>
        <w:rPr>
          <w:rFonts w:hint="eastAsia" w:ascii="Times New Roman" w:cs="Times New Roman"/>
          <w:color w:val="auto"/>
        </w:rPr>
        <w:t>—</w:t>
      </w:r>
      <w:r>
        <w:rPr>
          <w:rFonts w:ascii="Times New Roman" w:cs="Times New Roman"/>
          <w:color w:val="auto"/>
        </w:rPr>
        <w:t xml:space="preserve">2011 </w:t>
      </w:r>
      <w:r>
        <w:rPr>
          <w:rFonts w:hint="eastAsia" w:ascii="Times New Roman" w:cs="Times New Roman"/>
          <w:color w:val="auto"/>
        </w:rPr>
        <w:t>通用计量术语和定义</w:t>
      </w:r>
    </w:p>
    <w:p>
      <w:pPr>
        <w:pStyle w:val="4"/>
        <w:numPr>
          <w:numId w:val="0"/>
        </w:numPr>
        <w:spacing w:before="0" w:beforeAutospacing="0" w:after="0" w:afterAutospacing="0" w:line="360" w:lineRule="auto"/>
        <w:ind w:leftChars="0" w:firstLine="480" w:firstLineChars="20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 xml:space="preserve">2. </w:t>
      </w:r>
      <w:r>
        <w:rPr>
          <w:rFonts w:ascii="Times New Roman" w:cs="Times New Roman"/>
          <w:color w:val="auto"/>
        </w:rPr>
        <w:t>JJF 1059.1</w:t>
      </w:r>
      <w:r>
        <w:rPr>
          <w:rFonts w:hint="eastAsia" w:ascii="Times New Roman" w:cs="Times New Roman"/>
          <w:color w:val="auto"/>
        </w:rPr>
        <w:t>—</w:t>
      </w:r>
      <w:r>
        <w:rPr>
          <w:rFonts w:ascii="Times New Roman" w:cs="Times New Roman"/>
          <w:color w:val="auto"/>
        </w:rPr>
        <w:t xml:space="preserve">2012 </w:t>
      </w:r>
      <w:r>
        <w:rPr>
          <w:rFonts w:hint="eastAsia" w:ascii="Times New Roman" w:cs="Times New Roman"/>
          <w:color w:val="auto"/>
        </w:rPr>
        <w:t>测量不确定度评定和表示</w:t>
      </w:r>
      <w:r>
        <w:rPr>
          <w:rFonts w:hint="eastAsia" w:ascii="Times New Roman" w:cs="Times New Roman"/>
          <w:color w:val="auto"/>
          <w:lang w:eastAsia="zh-CN"/>
        </w:rPr>
        <w:t>。</w:t>
      </w:r>
    </w:p>
    <w:p>
      <w:pPr>
        <w:pStyle w:val="4"/>
        <w:numPr>
          <w:numId w:val="0"/>
        </w:numPr>
        <w:spacing w:before="0" w:beforeAutospacing="0" w:after="0" w:afterAutospacing="0" w:line="360" w:lineRule="auto"/>
        <w:ind w:leftChars="0" w:firstLine="480" w:firstLineChars="20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在确保翻译准确、与国际标准内容一致的前提下，在语言的表述上尽可能符合中国语言表达习惯。</w:t>
      </w:r>
    </w:p>
    <w:p>
      <w:pPr>
        <w:numPr>
          <w:ilvl w:val="0"/>
          <w:numId w:val="1"/>
        </w:numPr>
        <w:spacing w:line="360" w:lineRule="auto"/>
        <w:rPr>
          <w:rFonts w:eastAsia="黑体"/>
          <w:color w:val="auto"/>
          <w:sz w:val="28"/>
          <w:szCs w:val="28"/>
        </w:rPr>
      </w:pPr>
      <w:r>
        <w:rPr>
          <w:rFonts w:eastAsia="黑体"/>
          <w:color w:val="auto"/>
          <w:sz w:val="28"/>
          <w:szCs w:val="28"/>
        </w:rPr>
        <w:t>有关技术问题和表述的说明</w:t>
      </w:r>
    </w:p>
    <w:p>
      <w:pPr>
        <w:numPr>
          <w:ilvl w:val="0"/>
          <w:numId w:val="3"/>
        </w:numPr>
        <w:spacing w:line="360" w:lineRule="auto"/>
        <w:rPr>
          <w:rFonts w:eastAsia="黑体"/>
          <w:color w:val="auto"/>
          <w:sz w:val="24"/>
          <w:highlight w:val="none"/>
        </w:rPr>
      </w:pPr>
      <w:r>
        <w:rPr>
          <w:rFonts w:eastAsia="黑体"/>
          <w:color w:val="auto"/>
          <w:sz w:val="24"/>
        </w:rPr>
        <w:t xml:space="preserve"> 若干表述的说明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>删除了国际标准中关于2008版文件变化的10个注脚（相关位置：</w:t>
      </w:r>
      <w:r>
        <w:rPr>
          <w:rFonts w:hint="eastAsia" w:ascii="Times New Roman" w:cs="Times New Roman"/>
          <w:color w:val="auto"/>
        </w:rPr>
        <w:t>ISO/IEC的前言</w:t>
      </w:r>
      <w:r>
        <w:rPr>
          <w:rFonts w:hint="eastAsia" w:ascii="Times New Roman" w:cs="Times New Roman"/>
          <w:color w:val="auto"/>
          <w:lang w:eastAsia="zh-CN"/>
        </w:rPr>
        <w:t>、</w:t>
      </w:r>
      <w:r>
        <w:rPr>
          <w:rFonts w:hint="eastAsia" w:ascii="Times New Roman" w:cs="Times New Roman"/>
          <w:color w:val="auto"/>
          <w:lang w:val="en-US" w:eastAsia="zh-CN"/>
        </w:rPr>
        <w:t>1.4、2.1、3.1.3、附录B、附录C），删除的这</w:t>
      </w:r>
      <w:r>
        <w:rPr>
          <w:rFonts w:hint="eastAsia" w:ascii="Times New Roman" w:cs="Times New Roman"/>
          <w:color w:val="auto"/>
        </w:rPr>
        <w:t>些注脚</w:t>
      </w:r>
      <w:r>
        <w:rPr>
          <w:rFonts w:hint="eastAsia" w:ascii="Times New Roman" w:cs="Times New Roman"/>
          <w:color w:val="auto"/>
          <w:lang w:eastAsia="zh-CN"/>
        </w:rPr>
        <w:t>有些是</w:t>
      </w:r>
      <w:r>
        <w:rPr>
          <w:rFonts w:hint="eastAsia" w:ascii="Times New Roman" w:cs="Times New Roman"/>
          <w:color w:val="auto"/>
        </w:rPr>
        <w:t>2008版对以前版本内容的补充</w:t>
      </w:r>
      <w:r>
        <w:rPr>
          <w:rFonts w:hint="eastAsia" w:ascii="Times New Roman" w:cs="Times New Roman"/>
          <w:color w:val="auto"/>
          <w:lang w:eastAsia="zh-CN"/>
        </w:rPr>
        <w:t>或</w:t>
      </w:r>
      <w:r>
        <w:rPr>
          <w:rFonts w:hint="eastAsia" w:ascii="Times New Roman" w:cs="Times New Roman"/>
          <w:color w:val="auto"/>
        </w:rPr>
        <w:t>解释，如前言第VI页中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注*、注***</w:t>
      </w:r>
      <w:r>
        <w:rPr>
          <w:rFonts w:hint="eastAsia" w:ascii="Times New Roman" w:cs="Times New Roman"/>
          <w:color w:val="auto"/>
          <w:lang w:eastAsia="zh-CN"/>
        </w:rPr>
        <w:t>”，</w:t>
      </w:r>
      <w:r>
        <w:rPr>
          <w:rFonts w:hint="eastAsia" w:ascii="Times New Roman" w:cs="Times New Roman"/>
          <w:color w:val="auto"/>
        </w:rPr>
        <w:t>在本</w:t>
      </w:r>
      <w:r>
        <w:rPr>
          <w:rFonts w:hint="eastAsia" w:ascii="Times New Roman" w:cs="Times New Roman"/>
          <w:color w:val="auto"/>
          <w:lang w:eastAsia="zh-CN"/>
        </w:rPr>
        <w:t>标准</w:t>
      </w:r>
      <w:r>
        <w:rPr>
          <w:rFonts w:hint="eastAsia" w:ascii="Times New Roman" w:cs="Times New Roman"/>
          <w:color w:val="auto"/>
        </w:rPr>
        <w:t>中直接在原文中</w:t>
      </w:r>
      <w:r>
        <w:rPr>
          <w:rFonts w:hint="eastAsia" w:ascii="Times New Roman" w:cs="Times New Roman"/>
          <w:color w:val="auto"/>
          <w:lang w:eastAsia="zh-CN"/>
        </w:rPr>
        <w:t>增加了相关内容</w:t>
      </w:r>
      <w:r>
        <w:rPr>
          <w:rFonts w:hint="eastAsia" w:ascii="Times New Roman" w:cs="Times New Roman"/>
          <w:color w:val="auto"/>
        </w:rPr>
        <w:t>。</w:t>
      </w:r>
      <w:r>
        <w:rPr>
          <w:rFonts w:hint="eastAsia" w:ascii="Times New Roman" w:cs="Times New Roman"/>
          <w:color w:val="auto"/>
          <w:lang w:val="en-US" w:eastAsia="zh-CN"/>
        </w:rPr>
        <w:t>保留了5个注脚（相关位置：附录J、参考文献）。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</w:rPr>
        <w:t>删除</w:t>
      </w:r>
      <w:r>
        <w:rPr>
          <w:rFonts w:hint="eastAsia" w:ascii="Times New Roman" w:cs="Times New Roman"/>
          <w:color w:val="auto"/>
          <w:lang w:eastAsia="zh-CN"/>
        </w:rPr>
        <w:t>了国际标准中</w:t>
      </w:r>
      <w:r>
        <w:rPr>
          <w:rFonts w:hint="eastAsia" w:ascii="Times New Roman" w:cs="Times New Roman"/>
          <w:color w:val="auto"/>
        </w:rPr>
        <w:t>提到</w:t>
      </w:r>
      <w:r>
        <w:rPr>
          <w:rFonts w:hint="eastAsia" w:ascii="Times New Roman" w:cs="Times New Roman"/>
          <w:color w:val="auto"/>
          <w:lang w:eastAsia="zh-CN"/>
        </w:rPr>
        <w:t>并引用的</w:t>
      </w:r>
      <w:r>
        <w:rPr>
          <w:rFonts w:hint="eastAsia" w:ascii="Times New Roman" w:cs="Times New Roman"/>
          <w:color w:val="auto"/>
        </w:rPr>
        <w:t>法文内容</w:t>
      </w:r>
      <w:r>
        <w:rPr>
          <w:rFonts w:hint="eastAsia" w:ascii="Times New Roman" w:cs="Times New Roman"/>
          <w:color w:val="auto"/>
          <w:lang w:eastAsia="zh-CN"/>
        </w:rPr>
        <w:t>。相关位置做了适当处理，如</w:t>
      </w:r>
      <w:r>
        <w:rPr>
          <w:rFonts w:hint="eastAsia" w:ascii="Times New Roman" w:cs="Times New Roman"/>
          <w:color w:val="auto"/>
        </w:rPr>
        <w:t>引言0.5</w:t>
      </w:r>
      <w:r>
        <w:rPr>
          <w:rFonts w:hint="eastAsia" w:ascii="Times New Roman" w:cs="Times New Roman"/>
          <w:color w:val="auto"/>
          <w:lang w:eastAsia="zh-CN"/>
        </w:rPr>
        <w:t>增加</w:t>
      </w:r>
      <w:r>
        <w:rPr>
          <w:rFonts w:hint="eastAsia" w:ascii="Times New Roman" w:cs="Times New Roman"/>
          <w:color w:val="auto"/>
        </w:rPr>
        <w:t>“INC-1(1980)建议书权威的法文本</w:t>
      </w:r>
      <w:r>
        <w:rPr>
          <w:rFonts w:hint="eastAsia" w:ascii="Times New Roman" w:cs="Times New Roman"/>
          <w:color w:val="auto"/>
          <w:lang w:eastAsia="zh-CN"/>
        </w:rPr>
        <w:t>参见</w:t>
      </w:r>
      <w:r>
        <w:rPr>
          <w:rFonts w:hint="eastAsia" w:ascii="Times New Roman" w:cs="Times New Roman"/>
          <w:color w:val="auto"/>
        </w:rPr>
        <w:t>ISO/IEC 98-3:2008国际标准的A.1”</w:t>
      </w:r>
      <w:r>
        <w:rPr>
          <w:rFonts w:hint="eastAsia" w:ascii="Times New Roman" w:cs="Times New Roman"/>
          <w:color w:val="auto"/>
          <w:lang w:eastAsia="zh-CN"/>
        </w:rPr>
        <w:t>，</w:t>
      </w:r>
      <w:r>
        <w:rPr>
          <w:rFonts w:hint="eastAsia" w:ascii="Times New Roman" w:cs="Times New Roman"/>
          <w:color w:val="auto"/>
        </w:rPr>
        <w:t>同时，</w:t>
      </w:r>
      <w:r>
        <w:rPr>
          <w:rFonts w:hint="eastAsia" w:ascii="Times New Roman" w:cs="Times New Roman"/>
          <w:color w:val="auto"/>
          <w:lang w:eastAsia="zh-CN"/>
        </w:rPr>
        <w:t>本标准</w:t>
      </w:r>
      <w:r>
        <w:rPr>
          <w:rFonts w:hint="eastAsia" w:ascii="Times New Roman" w:cs="Times New Roman"/>
          <w:color w:val="auto"/>
        </w:rPr>
        <w:t>附录A.1不引用该法文内容。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val="en-US" w:eastAsia="zh-CN"/>
        </w:rPr>
      </w:pPr>
      <w:r>
        <w:rPr>
          <w:rFonts w:hint="eastAsia" w:ascii="Times New Roman" w:cs="Times New Roman"/>
          <w:color w:val="auto"/>
        </w:rPr>
        <w:t>3.3.2h</w:t>
      </w:r>
      <w:r>
        <w:rPr>
          <w:rFonts w:hint="eastAsia" w:ascii="Times New Roman" w:cs="Times New Roman"/>
          <w:color w:val="auto"/>
          <w:lang w:eastAsia="zh-CN"/>
        </w:rPr>
        <w:t>中的</w:t>
      </w:r>
      <w:r>
        <w:rPr>
          <w:rFonts w:hint="eastAsia" w:ascii="Times New Roman" w:cs="Times New Roman"/>
          <w:color w:val="auto"/>
          <w:lang w:val="en-US" w:eastAsia="zh-CN"/>
        </w:rPr>
        <w:t>“</w:t>
      </w:r>
      <w:r>
        <w:rPr>
          <w:rFonts w:hint="eastAsia" w:ascii="Times New Roman" w:cs="Times New Roman"/>
          <w:color w:val="auto"/>
        </w:rPr>
        <w:t>data reduction algorithm</w:t>
      </w:r>
      <w:r>
        <w:rPr>
          <w:rFonts w:hint="eastAsia" w:ascii="Times New Roman" w:cs="Times New Roman"/>
          <w:color w:val="auto"/>
          <w:lang w:eastAsia="zh-CN"/>
        </w:rPr>
        <w:t>”</w:t>
      </w:r>
      <w:r>
        <w:rPr>
          <w:rFonts w:hint="eastAsia" w:ascii="Times New Roman" w:cs="Times New Roman"/>
          <w:color w:val="auto"/>
        </w:rPr>
        <w:t>翻译成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数据约简算法</w:t>
      </w:r>
      <w:r>
        <w:rPr>
          <w:rFonts w:hint="eastAsia" w:ascii="Times New Roman" w:cs="Times New Roman"/>
          <w:color w:val="auto"/>
          <w:lang w:eastAsia="zh-CN"/>
        </w:rPr>
        <w:t>”</w:t>
      </w:r>
      <w:r>
        <w:rPr>
          <w:rFonts w:hint="eastAsia" w:ascii="Times New Roman" w:cs="Times New Roman"/>
          <w:color w:val="auto"/>
        </w:rPr>
        <w:t>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val="en-US" w:eastAsia="zh-CN"/>
        </w:rPr>
      </w:pPr>
      <w:r>
        <w:rPr>
          <w:rFonts w:hint="eastAsia" w:ascii="Times New Roman" w:cs="Times New Roman"/>
          <w:color w:val="auto"/>
          <w:lang w:eastAsia="zh-CN"/>
        </w:rPr>
        <w:t>本标准中</w:t>
      </w:r>
      <w:r>
        <w:rPr>
          <w:rFonts w:hint="eastAsia" w:ascii="Times New Roman" w:cs="Times New Roman"/>
          <w:color w:val="auto"/>
          <w:lang w:val="en-US" w:eastAsia="zh-CN"/>
        </w:rPr>
        <w:t>“standard deviation”按GB/T 3358.1—2009均译为“标</w:t>
      </w:r>
      <w:r>
        <w:rPr>
          <w:rFonts w:hint="eastAsia" w:ascii="Times New Roman" w:cs="Times New Roman"/>
          <w:color w:val="auto"/>
          <w:lang w:eastAsia="zh-CN"/>
        </w:rPr>
        <w:t>准差”；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val="en-US" w:eastAsia="zh-CN"/>
        </w:rPr>
      </w:pPr>
      <w:r>
        <w:rPr>
          <w:rFonts w:hint="eastAsia" w:ascii="Times New Roman" w:cs="Times New Roman"/>
          <w:color w:val="auto"/>
          <w:lang w:val="en-US" w:eastAsia="zh-CN"/>
        </w:rPr>
        <w:t>“Contribute”、“contribution” 一般为“贡献”，本标准中有时译为“影响”，如3.1.6。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>“level of confidence”与“confidence level”在本标准中均译为“置信水平”。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eastAsia="zh-CN"/>
        </w:rPr>
        <w:t>本标准中“</w:t>
      </w:r>
      <w:r>
        <w:rPr>
          <w:rFonts w:hint="eastAsia" w:ascii="Times New Roman" w:cs="Times New Roman"/>
          <w:color w:val="auto"/>
        </w:rPr>
        <w:t>ISO指南99</w:t>
      </w:r>
      <w:r>
        <w:rPr>
          <w:rFonts w:hint="eastAsia" w:ascii="Times New Roman" w:cs="Times New Roman"/>
          <w:color w:val="auto"/>
          <w:lang w:eastAsia="zh-CN"/>
        </w:rPr>
        <w:t>”按国际惯例缩写为</w:t>
      </w:r>
      <w:r>
        <w:rPr>
          <w:rFonts w:hint="eastAsia" w:ascii="Times New Roman" w:cs="Times New Roman"/>
          <w:color w:val="auto"/>
          <w:lang w:val="en-US" w:eastAsia="zh-CN"/>
        </w:rPr>
        <w:t>VIM，但对其3个版本的表述则有两种，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VIM</w:t>
      </w:r>
      <w:r>
        <w:rPr>
          <w:rFonts w:hint="eastAsia" w:ascii="Times New Roman" w:cs="Times New Roman"/>
          <w:color w:val="auto"/>
          <w:lang w:eastAsia="zh-CN"/>
        </w:rPr>
        <w:t>第</w:t>
      </w:r>
      <w:r>
        <w:rPr>
          <w:rFonts w:hint="eastAsia" w:ascii="Times New Roman" w:cs="Times New Roman"/>
          <w:color w:val="auto"/>
          <w:lang w:val="en-US" w:eastAsia="zh-CN"/>
        </w:rPr>
        <w:t>3版</w:t>
      </w:r>
      <w:r>
        <w:rPr>
          <w:rFonts w:hint="eastAsia" w:ascii="Times New Roman" w:cs="Times New Roman"/>
          <w:color w:val="auto"/>
          <w:lang w:eastAsia="zh-CN"/>
        </w:rPr>
        <w:t>”即</w:t>
      </w:r>
      <w:r>
        <w:rPr>
          <w:rFonts w:hint="eastAsia" w:ascii="Times New Roman" w:cs="Times New Roman"/>
          <w:color w:val="auto"/>
          <w:lang w:val="en-US" w:eastAsia="zh-CN"/>
        </w:rPr>
        <w:t>VIM:2007，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VIM</w:t>
      </w:r>
      <w:r>
        <w:rPr>
          <w:rFonts w:hint="eastAsia" w:ascii="Times New Roman" w:cs="Times New Roman"/>
          <w:color w:val="auto"/>
          <w:lang w:eastAsia="zh-CN"/>
        </w:rPr>
        <w:t>第</w:t>
      </w:r>
      <w:r>
        <w:rPr>
          <w:rFonts w:hint="eastAsia" w:ascii="Times New Roman" w:cs="Times New Roman"/>
          <w:color w:val="auto"/>
          <w:lang w:val="en-US" w:eastAsia="zh-CN"/>
        </w:rPr>
        <w:t>2版</w:t>
      </w:r>
      <w:r>
        <w:rPr>
          <w:rFonts w:hint="eastAsia" w:ascii="Times New Roman" w:cs="Times New Roman"/>
          <w:color w:val="auto"/>
          <w:lang w:eastAsia="zh-CN"/>
        </w:rPr>
        <w:t>”即</w:t>
      </w:r>
      <w:r>
        <w:rPr>
          <w:rFonts w:hint="eastAsia" w:ascii="Times New Roman" w:cs="Times New Roman"/>
          <w:color w:val="auto"/>
          <w:lang w:val="en-US" w:eastAsia="zh-CN"/>
        </w:rPr>
        <w:t>VIM:1993，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VIM</w:t>
      </w:r>
      <w:r>
        <w:rPr>
          <w:rFonts w:hint="eastAsia" w:ascii="Times New Roman" w:cs="Times New Roman"/>
          <w:color w:val="auto"/>
          <w:lang w:eastAsia="zh-CN"/>
        </w:rPr>
        <w:t>第</w:t>
      </w:r>
      <w:r>
        <w:rPr>
          <w:rFonts w:hint="eastAsia" w:ascii="Times New Roman" w:cs="Times New Roman"/>
          <w:color w:val="auto"/>
          <w:lang w:val="en-US" w:eastAsia="zh-CN"/>
        </w:rPr>
        <w:t>1版</w:t>
      </w:r>
      <w:r>
        <w:rPr>
          <w:rFonts w:hint="eastAsia" w:ascii="Times New Roman" w:cs="Times New Roman"/>
          <w:color w:val="auto"/>
          <w:lang w:eastAsia="zh-CN"/>
        </w:rPr>
        <w:t>”即</w:t>
      </w:r>
      <w:r>
        <w:rPr>
          <w:rFonts w:hint="eastAsia" w:ascii="Times New Roman" w:cs="Times New Roman"/>
          <w:color w:val="auto"/>
          <w:lang w:val="en-US" w:eastAsia="zh-CN"/>
        </w:rPr>
        <w:t>VIM:1984，为统一表述，本文件在特指其版本时，尽量只使用VIM:2007、VIM:1993这种表述方式。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</w:rPr>
        <w:t>2.3</w:t>
      </w:r>
      <w:r>
        <w:rPr>
          <w:rFonts w:hint="eastAsia" w:ascii="Times New Roman" w:cs="Times New Roman"/>
          <w:color w:val="auto"/>
          <w:lang w:eastAsia="zh-CN"/>
        </w:rPr>
        <w:t>和附录</w:t>
      </w:r>
      <w:r>
        <w:rPr>
          <w:rFonts w:hint="eastAsia" w:ascii="Times New Roman" w:cs="Times New Roman"/>
          <w:color w:val="auto"/>
          <w:lang w:val="en-US" w:eastAsia="zh-CN"/>
        </w:rPr>
        <w:t>B</w:t>
      </w:r>
      <w:r>
        <w:rPr>
          <w:rFonts w:hint="eastAsia" w:ascii="Times New Roman" w:cs="Times New Roman"/>
          <w:color w:val="auto"/>
        </w:rPr>
        <w:t>中的术语</w:t>
      </w:r>
      <w:r>
        <w:rPr>
          <w:rFonts w:hint="eastAsia" w:ascii="Times New Roman" w:cs="Times New Roman"/>
          <w:color w:val="auto"/>
          <w:lang w:eastAsia="zh-CN"/>
        </w:rPr>
        <w:t>内容均</w:t>
      </w:r>
      <w:r>
        <w:rPr>
          <w:rFonts w:hint="eastAsia" w:ascii="Times New Roman" w:cs="Times New Roman"/>
          <w:color w:val="auto"/>
        </w:rPr>
        <w:t>采用了最新版本的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ISO指南99</w:t>
      </w:r>
      <w:r>
        <w:rPr>
          <w:rFonts w:hint="eastAsia" w:ascii="Times New Roman" w:cs="Times New Roman"/>
          <w:color w:val="auto"/>
          <w:lang w:eastAsia="zh-CN"/>
        </w:rPr>
        <w:t>：</w:t>
      </w:r>
      <w:r>
        <w:rPr>
          <w:rFonts w:hint="eastAsia" w:ascii="Times New Roman" w:cs="Times New Roman"/>
          <w:color w:val="auto"/>
          <w:lang w:val="en-US" w:eastAsia="zh-CN"/>
        </w:rPr>
        <w:t>2007</w:t>
      </w:r>
      <w:r>
        <w:rPr>
          <w:rFonts w:hint="eastAsia" w:ascii="Times New Roman" w:cs="Times New Roman"/>
          <w:color w:val="auto"/>
          <w:lang w:eastAsia="zh-CN"/>
        </w:rPr>
        <w:t>”（</w:t>
      </w:r>
      <w:r>
        <w:rPr>
          <w:rFonts w:hint="eastAsia" w:ascii="Times New Roman" w:cs="Times New Roman"/>
          <w:color w:val="auto"/>
        </w:rPr>
        <w:t>VIM</w:t>
      </w:r>
      <w:r>
        <w:rPr>
          <w:rFonts w:hint="eastAsia" w:ascii="Times New Roman" w:cs="Times New Roman"/>
          <w:color w:val="auto"/>
          <w:lang w:eastAsia="zh-CN"/>
        </w:rPr>
        <w:t>：</w:t>
      </w:r>
      <w:r>
        <w:rPr>
          <w:rFonts w:hint="eastAsia" w:ascii="Times New Roman" w:cs="Times New Roman"/>
          <w:color w:val="auto"/>
          <w:lang w:val="en-US" w:eastAsia="zh-CN"/>
        </w:rPr>
        <w:t>2007</w:t>
      </w:r>
      <w:r>
        <w:rPr>
          <w:rFonts w:hint="eastAsia" w:ascii="Times New Roman" w:cs="Times New Roman"/>
          <w:color w:val="auto"/>
          <w:lang w:eastAsia="zh-CN"/>
        </w:rPr>
        <w:t>）中的术语和定义</w:t>
      </w:r>
      <w:r>
        <w:rPr>
          <w:rFonts w:hint="eastAsia" w:ascii="Times New Roman" w:cs="Times New Roman"/>
          <w:color w:val="auto"/>
        </w:rPr>
        <w:t>。</w:t>
      </w:r>
      <w:r>
        <w:rPr>
          <w:rFonts w:hint="eastAsia" w:ascii="Times New Roman" w:cs="Times New Roman"/>
          <w:color w:val="auto"/>
          <w:lang w:eastAsia="zh-CN"/>
        </w:rPr>
        <w:t>但个别术语在</w:t>
      </w:r>
      <w:r>
        <w:rPr>
          <w:rFonts w:hint="eastAsia" w:ascii="Times New Roman" w:cs="Times New Roman"/>
          <w:color w:val="auto"/>
          <w:lang w:val="en-US" w:eastAsia="zh-CN"/>
        </w:rPr>
        <w:t>VIM:2007中没有，本标准予以保留，并增加了一个注释“</w:t>
      </w:r>
      <w:r>
        <w:rPr>
          <w:rFonts w:hint="eastAsia" w:ascii="Times New Roman" w:cs="Times New Roman"/>
          <w:color w:val="auto"/>
        </w:rPr>
        <w:t>本标准注释：该术语见VIM:1993。ISO指南99：2007取消了该术语。</w:t>
      </w:r>
      <w:r>
        <w:rPr>
          <w:rFonts w:hint="eastAsia" w:ascii="Times New Roman" w:cs="Times New Roman"/>
          <w:color w:val="auto"/>
          <w:lang w:eastAsia="zh-CN"/>
        </w:rPr>
        <w:t>”并</w:t>
      </w:r>
      <w:r>
        <w:rPr>
          <w:rFonts w:hint="eastAsia" w:ascii="Times New Roman" w:cs="Times New Roman"/>
          <w:color w:val="auto"/>
        </w:rPr>
        <w:t>省略了这些术语中与本标准无关或指向本标准的注和示例。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</w:rPr>
      </w:pPr>
      <w:r>
        <w:rPr>
          <w:rFonts w:hint="eastAsia" w:ascii="Times New Roman" w:cs="Times New Roman"/>
          <w:color w:val="auto"/>
        </w:rPr>
        <w:t>附录C中的统计术语采用了最新版本的</w:t>
      </w:r>
      <w:r>
        <w:rPr>
          <w:rFonts w:ascii="Times New Roman" w:cs="Times New Roman"/>
          <w:color w:val="auto"/>
        </w:rPr>
        <w:t>ISO 3534-1:2006</w:t>
      </w:r>
      <w:r>
        <w:rPr>
          <w:rFonts w:hint="eastAsia" w:ascii="Times New Roman" w:cs="Times New Roman"/>
          <w:color w:val="auto"/>
          <w:lang w:eastAsia="zh-CN"/>
        </w:rPr>
        <w:t>中的定义。定义的出处标注引用自</w:t>
      </w:r>
      <w:r>
        <w:rPr>
          <w:rFonts w:ascii="Times New Roman" w:cs="Times New Roman"/>
          <w:color w:val="auto"/>
        </w:rPr>
        <w:t>GB/T 3358.1—2009</w:t>
      </w:r>
      <w:r>
        <w:rPr>
          <w:rFonts w:hint="eastAsia" w:ascii="Times New Roman" w:cs="Times New Roman"/>
          <w:color w:val="auto"/>
        </w:rPr>
        <w:t xml:space="preserve">（IDT </w:t>
      </w:r>
      <w:r>
        <w:rPr>
          <w:rFonts w:ascii="Times New Roman" w:cs="Times New Roman"/>
          <w:color w:val="auto"/>
        </w:rPr>
        <w:t>ISO 3534-1:</w:t>
      </w:r>
      <w:r>
        <w:rPr>
          <w:rFonts w:hint="eastAsia" w:ascii="Times New Roman" w:cs="Times New Roman"/>
          <w:color w:val="auto"/>
        </w:rPr>
        <w:t>2006）</w:t>
      </w:r>
      <w:r>
        <w:rPr>
          <w:rFonts w:hint="eastAsia" w:ascii="Times New Roman" w:cs="Times New Roman"/>
          <w:color w:val="auto"/>
          <w:lang w:eastAsia="zh-CN"/>
        </w:rPr>
        <w:t>，但由于</w:t>
      </w:r>
      <w:r>
        <w:rPr>
          <w:rFonts w:ascii="Times New Roman" w:cs="Times New Roman"/>
          <w:color w:val="auto"/>
        </w:rPr>
        <w:t>ISO 3534-1:1993</w:t>
      </w:r>
      <w:r>
        <w:rPr>
          <w:rFonts w:hint="eastAsia" w:ascii="Times New Roman" w:cs="Times New Roman"/>
          <w:color w:val="auto"/>
        </w:rPr>
        <w:t>中</w:t>
      </w:r>
      <w:r>
        <w:rPr>
          <w:rFonts w:hint="eastAsia" w:ascii="Times New Roman" w:cs="Times New Roman"/>
          <w:color w:val="auto"/>
          <w:lang w:eastAsia="zh-CN"/>
        </w:rPr>
        <w:t>个别术语在</w:t>
      </w:r>
      <w:r>
        <w:rPr>
          <w:rFonts w:ascii="Times New Roman" w:cs="Times New Roman"/>
          <w:color w:val="auto"/>
        </w:rPr>
        <w:t>GB/T 3358.1—2009</w:t>
      </w:r>
      <w:r>
        <w:rPr>
          <w:rFonts w:hint="eastAsia" w:ascii="Times New Roman" w:cs="Times New Roman"/>
          <w:color w:val="auto"/>
        </w:rPr>
        <w:t>中没有，</w:t>
      </w:r>
      <w:r>
        <w:rPr>
          <w:rFonts w:hint="eastAsia" w:ascii="Times New Roman" w:cs="Times New Roman"/>
          <w:color w:val="auto"/>
          <w:lang w:eastAsia="zh-CN"/>
        </w:rPr>
        <w:t>本标准保留了这些术语，因此，在附录</w:t>
      </w:r>
      <w:r>
        <w:rPr>
          <w:rFonts w:hint="eastAsia" w:ascii="Times New Roman" w:cs="Times New Roman"/>
          <w:color w:val="auto"/>
          <w:lang w:val="en-US" w:eastAsia="zh-CN"/>
        </w:rPr>
        <w:t>C</w:t>
      </w:r>
      <w:r>
        <w:rPr>
          <w:rFonts w:hint="eastAsia" w:ascii="Times New Roman" w:cs="Times New Roman"/>
          <w:color w:val="auto"/>
          <w:lang w:eastAsia="zh-CN"/>
        </w:rPr>
        <w:t>中，部分术语后面标注的出处时为</w:t>
      </w:r>
      <w:r>
        <w:rPr>
          <w:rFonts w:ascii="Times New Roman" w:cs="Times New Roman"/>
          <w:color w:val="auto"/>
        </w:rPr>
        <w:t>ISO 3534-1:</w:t>
      </w:r>
      <w:r>
        <w:rPr>
          <w:rFonts w:hint="eastAsia" w:ascii="Times New Roman" w:cs="Times New Roman"/>
          <w:color w:val="auto"/>
          <w:lang w:val="en-US" w:eastAsia="zh-CN"/>
        </w:rPr>
        <w:t>1993</w:t>
      </w:r>
      <w:r>
        <w:rPr>
          <w:rFonts w:hint="eastAsia" w:ascii="Times New Roman" w:cs="Times New Roman"/>
          <w:color w:val="auto"/>
          <w:lang w:eastAsia="zh-CN"/>
        </w:rPr>
        <w:t>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eastAsia="zh-CN"/>
        </w:rPr>
        <w:t>正文</w:t>
      </w:r>
      <w:r>
        <w:rPr>
          <w:rFonts w:hint="eastAsia" w:ascii="Times New Roman" w:cs="Times New Roman"/>
          <w:color w:val="auto"/>
          <w:lang w:val="en-US" w:eastAsia="zh-CN"/>
        </w:rPr>
        <w:t>2.3和</w:t>
      </w:r>
      <w:r>
        <w:rPr>
          <w:rFonts w:hint="eastAsia" w:ascii="Times New Roman" w:cs="Times New Roman"/>
          <w:color w:val="auto"/>
          <w:lang w:eastAsia="zh-CN"/>
        </w:rPr>
        <w:t>附录</w:t>
      </w:r>
      <w:r>
        <w:rPr>
          <w:rFonts w:hint="eastAsia" w:ascii="Times New Roman" w:cs="Times New Roman"/>
          <w:color w:val="auto"/>
          <w:lang w:val="en-US" w:eastAsia="zh-CN"/>
        </w:rPr>
        <w:t>C</w:t>
      </w:r>
      <w:r>
        <w:rPr>
          <w:rFonts w:hint="eastAsia" w:ascii="Times New Roman" w:cs="Times New Roman"/>
          <w:color w:val="auto"/>
          <w:lang w:eastAsia="zh-CN"/>
        </w:rPr>
        <w:t>中术语的名称中可省略的词国际标准中为加圆括号，改为加中括号，以与引用的GB/T</w:t>
      </w:r>
      <w:r>
        <w:rPr>
          <w:rFonts w:hint="eastAsia" w:ascii="Times New Roman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cs="Times New Roman"/>
          <w:color w:val="auto"/>
          <w:lang w:eastAsia="zh-CN"/>
        </w:rPr>
        <w:t>3358.1－2009一致。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eastAsia="zh-CN"/>
        </w:rPr>
      </w:pPr>
      <w:r>
        <w:rPr>
          <w:rFonts w:hint="eastAsia" w:ascii="Times New Roman" w:cs="Times New Roman"/>
          <w:color w:val="auto"/>
          <w:lang w:eastAsia="zh-CN"/>
        </w:rPr>
        <w:t>附录</w:t>
      </w:r>
      <w:r>
        <w:rPr>
          <w:rFonts w:hint="eastAsia" w:ascii="Times New Roman" w:cs="Times New Roman"/>
          <w:color w:val="auto"/>
          <w:lang w:val="en-US" w:eastAsia="zh-CN"/>
        </w:rPr>
        <w:t>C中部分术语采用了</w:t>
      </w:r>
      <w:r>
        <w:rPr>
          <w:rFonts w:ascii="Times New Roman" w:cs="Times New Roman"/>
          <w:color w:val="auto"/>
        </w:rPr>
        <w:t>GB/T 3358.1—2009</w:t>
      </w:r>
      <w:r>
        <w:rPr>
          <w:rFonts w:hint="eastAsia" w:ascii="Times New Roman" w:cs="Times New Roman"/>
          <w:color w:val="auto"/>
          <w:lang w:eastAsia="zh-CN"/>
        </w:rPr>
        <w:t>（</w:t>
      </w:r>
      <w:r>
        <w:rPr>
          <w:rFonts w:hint="eastAsia" w:ascii="Times New Roman" w:cs="Times New Roman"/>
          <w:color w:val="auto"/>
          <w:lang w:val="en-US" w:eastAsia="zh-CN"/>
        </w:rPr>
        <w:t xml:space="preserve">IDT </w:t>
      </w:r>
      <w:r>
        <w:rPr>
          <w:rFonts w:hint="eastAsia" w:ascii="Times New Roman" w:cs="Times New Roman"/>
          <w:color w:val="auto"/>
        </w:rPr>
        <w:t>I</w:t>
      </w:r>
      <w:r>
        <w:rPr>
          <w:rFonts w:ascii="Times New Roman" w:cs="Times New Roman"/>
          <w:color w:val="auto"/>
        </w:rPr>
        <w:t>SO 3534-1:</w:t>
      </w:r>
      <w:r>
        <w:rPr>
          <w:rFonts w:hint="eastAsia" w:ascii="Times New Roman" w:cs="Times New Roman"/>
          <w:color w:val="auto"/>
        </w:rPr>
        <w:t>2006</w:t>
      </w:r>
      <w:r>
        <w:rPr>
          <w:rFonts w:hint="eastAsia" w:ascii="Times New Roman" w:cs="Times New Roman"/>
          <w:color w:val="auto"/>
          <w:lang w:eastAsia="zh-CN"/>
        </w:rPr>
        <w:t>）中的新的术语和定义，如</w:t>
      </w:r>
      <w:r>
        <w:rPr>
          <w:rFonts w:ascii="Times New Roman" w:cs="Times New Roman"/>
          <w:color w:val="auto"/>
        </w:rPr>
        <w:t>C.2.10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ascii="Times New Roman" w:cs="Times New Roman"/>
          <w:color w:val="auto"/>
        </w:rPr>
        <w:t>中心随机变量</w:t>
      </w:r>
      <w:r>
        <w:rPr>
          <w:rFonts w:hint="eastAsia" w:ascii="Times New Roman" w:cs="Times New Roman"/>
          <w:color w:val="auto"/>
          <w:lang w:eastAsia="zh-CN"/>
        </w:rPr>
        <w:t>改”为“</w:t>
      </w:r>
      <w:r>
        <w:rPr>
          <w:rFonts w:hint="eastAsia" w:ascii="Times New Roman" w:cs="Times New Roman"/>
          <w:color w:val="auto"/>
        </w:rPr>
        <w:t>中心化随机变量</w:t>
      </w:r>
      <w:r>
        <w:rPr>
          <w:rFonts w:hint="eastAsia" w:ascii="Times New Roman" w:cs="Times New Roman"/>
          <w:color w:val="auto"/>
          <w:lang w:eastAsia="zh-CN"/>
        </w:rPr>
        <w:t>”、</w:t>
      </w:r>
      <w:r>
        <w:rPr>
          <w:rFonts w:ascii="Times New Roman" w:cs="Times New Roman"/>
          <w:color w:val="auto"/>
        </w:rPr>
        <w:t>C.2.11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ascii="Times New Roman" w:cs="Times New Roman"/>
          <w:color w:val="auto"/>
        </w:rPr>
        <w:t>（随机变量或概率分布的）方差</w:t>
      </w:r>
      <w:r>
        <w:rPr>
          <w:rFonts w:hint="eastAsia" w:ascii="Times New Roman" w:cs="Times New Roman"/>
          <w:color w:val="auto"/>
          <w:lang w:eastAsia="zh-CN"/>
        </w:rPr>
        <w:t>”</w:t>
      </w:r>
      <w:r>
        <w:rPr>
          <w:rFonts w:ascii="Times New Roman" w:cs="Times New Roman"/>
          <w:color w:val="auto"/>
        </w:rPr>
        <w:t xml:space="preserve"> </w:t>
      </w:r>
      <w:r>
        <w:rPr>
          <w:rFonts w:hint="eastAsia" w:ascii="Times New Roman" w:cs="Times New Roman"/>
          <w:color w:val="auto"/>
        </w:rPr>
        <w:t>改为“样本方差”；</w:t>
      </w:r>
      <w:r>
        <w:rPr>
          <w:rFonts w:ascii="Times New Roman" w:cs="Times New Roman"/>
          <w:color w:val="auto"/>
        </w:rPr>
        <w:t xml:space="preserve">C.2.12 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ascii="Times New Roman" w:cs="Times New Roman"/>
          <w:color w:val="auto"/>
        </w:rPr>
        <w:t>（随机变量或概率分布的）</w:t>
      </w:r>
      <w:r>
        <w:rPr>
          <w:rFonts w:hint="eastAsia" w:ascii="Times New Roman" w:cs="Times New Roman"/>
          <w:color w:val="auto"/>
        </w:rPr>
        <w:t>标准差</w:t>
      </w:r>
      <w:r>
        <w:rPr>
          <w:rFonts w:hint="eastAsia" w:ascii="Times New Roman" w:cs="Times New Roman"/>
          <w:color w:val="auto"/>
          <w:lang w:eastAsia="zh-CN"/>
        </w:rPr>
        <w:t>”</w:t>
      </w:r>
      <w:r>
        <w:rPr>
          <w:rFonts w:ascii="Times New Roman" w:cs="Times New Roman"/>
          <w:color w:val="auto"/>
        </w:rPr>
        <w:t xml:space="preserve"> </w:t>
      </w:r>
      <w:r>
        <w:rPr>
          <w:rFonts w:hint="eastAsia" w:ascii="Times New Roman" w:cs="Times New Roman"/>
          <w:color w:val="auto"/>
        </w:rPr>
        <w:t>改为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样本标准差</w:t>
      </w:r>
      <w:r>
        <w:rPr>
          <w:rFonts w:ascii="Times New Roman" w:cs="Times New Roman"/>
          <w:color w:val="auto"/>
        </w:rPr>
        <w:t>”</w:t>
      </w:r>
      <w:r>
        <w:rPr>
          <w:rFonts w:hint="eastAsia" w:ascii="Times New Roman" w:cs="Times New Roman"/>
          <w:color w:val="auto"/>
          <w:lang w:eastAsia="zh-CN"/>
        </w:rPr>
        <w:t>、</w:t>
      </w:r>
      <w:r>
        <w:rPr>
          <w:rFonts w:hint="eastAsia" w:ascii="Times New Roman" w:cs="Times New Roman"/>
          <w:color w:val="auto"/>
        </w:rPr>
        <w:t>“C.2.27 双侧置信区间”改为“置信区间”</w:t>
      </w:r>
      <w:r>
        <w:rPr>
          <w:rFonts w:hint="eastAsia" w:ascii="Times New Roman" w:cs="Times New Roman"/>
          <w:color w:val="auto"/>
          <w:lang w:eastAsia="zh-CN"/>
        </w:rPr>
        <w:t>、“</w:t>
      </w:r>
      <w:r>
        <w:rPr>
          <w:rFonts w:hint="eastAsia" w:ascii="Times New Roman" w:cs="Times New Roman"/>
          <w:color w:val="auto"/>
        </w:rPr>
        <w:t>C.2.30统计包含区间</w:t>
      </w:r>
      <w:r>
        <w:rPr>
          <w:rFonts w:hint="eastAsia" w:ascii="Times New Roman" w:cs="Times New Roman"/>
          <w:color w:val="auto"/>
          <w:lang w:eastAsia="zh-CN"/>
        </w:rPr>
        <w:t>”</w:t>
      </w:r>
      <w:r>
        <w:rPr>
          <w:rFonts w:hint="eastAsia" w:ascii="Times New Roman" w:cs="Times New Roman"/>
          <w:color w:val="auto"/>
        </w:rPr>
        <w:t>改为</w:t>
      </w:r>
      <w:r>
        <w:rPr>
          <w:rFonts w:hint="eastAsia" w:ascii="Times New Roman" w:cs="Times New Roman"/>
          <w:color w:val="auto"/>
          <w:lang w:eastAsia="zh-CN"/>
        </w:rPr>
        <w:t>“</w:t>
      </w:r>
      <w:r>
        <w:rPr>
          <w:rFonts w:hint="eastAsia" w:ascii="Times New Roman" w:cs="Times New Roman"/>
          <w:color w:val="auto"/>
        </w:rPr>
        <w:t>统计容忍区间</w:t>
      </w:r>
      <w:r>
        <w:rPr>
          <w:rFonts w:hint="eastAsia" w:ascii="Times New Roman" w:cs="Times New Roman"/>
          <w:color w:val="auto"/>
          <w:lang w:eastAsia="zh-CN"/>
        </w:rPr>
        <w:t>”等</w:t>
      </w:r>
      <w:r>
        <w:rPr>
          <w:rFonts w:hint="eastAsia" w:ascii="Times New Roman" w:cs="Times New Roman"/>
          <w:color w:val="auto"/>
        </w:rPr>
        <w:t>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425" w:leftChars="0" w:hanging="425" w:firstLineChars="0"/>
        <w:rPr>
          <w:rFonts w:asci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eastAsia="zh-CN"/>
        </w:rPr>
        <w:t>本标准的</w:t>
      </w:r>
      <w:r>
        <w:rPr>
          <w:rFonts w:hint="eastAsia" w:ascii="Times New Roman" w:cs="Times New Roman"/>
          <w:color w:val="auto"/>
        </w:rPr>
        <w:t>参考文献</w:t>
      </w:r>
      <w:r>
        <w:rPr>
          <w:rFonts w:hint="eastAsia" w:ascii="Times New Roman" w:cs="Times New Roman"/>
          <w:color w:val="auto"/>
          <w:lang w:eastAsia="zh-CN"/>
        </w:rPr>
        <w:t>完全按照国际标准原</w:t>
      </w:r>
      <w:r>
        <w:rPr>
          <w:rFonts w:hint="eastAsia" w:ascii="Times New Roman" w:cs="Times New Roman"/>
          <w:color w:val="auto"/>
        </w:rPr>
        <w:t>参考文献</w:t>
      </w:r>
      <w:r>
        <w:rPr>
          <w:rFonts w:hint="eastAsia" w:ascii="Times New Roman" w:cs="Times New Roman"/>
          <w:color w:val="auto"/>
          <w:lang w:eastAsia="zh-CN"/>
        </w:rPr>
        <w:t>列出，</w:t>
      </w:r>
      <w:r>
        <w:rPr>
          <w:rFonts w:hint="eastAsia" w:ascii="Times New Roman" w:cs="Times New Roman"/>
          <w:color w:val="auto"/>
        </w:rPr>
        <w:t>文献名称不翻译，只翻译</w:t>
      </w:r>
      <w:r>
        <w:rPr>
          <w:rFonts w:hint="eastAsia" w:ascii="Times New Roman" w:cs="Times New Roman"/>
          <w:color w:val="auto"/>
          <w:lang w:eastAsia="zh-CN"/>
        </w:rPr>
        <w:t>其中的</w:t>
      </w:r>
      <w:r>
        <w:rPr>
          <w:rFonts w:hint="eastAsia" w:ascii="Times New Roman" w:cs="Times New Roman"/>
          <w:color w:val="auto"/>
        </w:rPr>
        <w:t>注和注脚。</w:t>
      </w:r>
      <w:r>
        <w:rPr>
          <w:rFonts w:hint="eastAsia" w:ascii="Times New Roman" w:cs="Times New Roman"/>
          <w:color w:val="auto"/>
          <w:lang w:eastAsia="zh-CN"/>
        </w:rPr>
        <w:t>增加了两个国内的文件：</w:t>
      </w:r>
      <w:r>
        <w:rPr>
          <w:rFonts w:hint="eastAsia" w:ascii="Times New Roman" w:cs="Times New Roman"/>
          <w:color w:val="auto"/>
          <w:lang w:val="en-US" w:eastAsia="zh-CN"/>
        </w:rPr>
        <w:t xml:space="preserve">[21] </w:t>
      </w:r>
      <w:r>
        <w:rPr>
          <w:rFonts w:ascii="Times New Roman" w:cs="Times New Roman"/>
          <w:color w:val="auto"/>
        </w:rPr>
        <w:t>JJF 1001</w:t>
      </w:r>
      <w:r>
        <w:rPr>
          <w:rFonts w:hint="eastAsia" w:ascii="Times New Roman" w:cs="Times New Roman"/>
          <w:color w:val="auto"/>
        </w:rPr>
        <w:t>—</w:t>
      </w:r>
      <w:r>
        <w:rPr>
          <w:rFonts w:ascii="Times New Roman" w:cs="Times New Roman"/>
          <w:color w:val="auto"/>
        </w:rPr>
        <w:t xml:space="preserve">2011 </w:t>
      </w:r>
      <w:r>
        <w:rPr>
          <w:rFonts w:hint="eastAsia" w:ascii="Times New Roman" w:cs="Times New Roman"/>
          <w:color w:val="auto"/>
        </w:rPr>
        <w:t>通用计量术语和定义</w:t>
      </w:r>
      <w:r>
        <w:rPr>
          <w:rFonts w:hint="eastAsia" w:ascii="Times New Roman" w:cs="Times New Roman"/>
          <w:color w:val="auto"/>
          <w:lang w:eastAsia="zh-CN"/>
        </w:rPr>
        <w:t>、</w:t>
      </w:r>
      <w:r>
        <w:rPr>
          <w:rFonts w:hint="eastAsia" w:ascii="Times New Roman" w:cs="Times New Roman"/>
          <w:color w:val="auto"/>
          <w:lang w:val="en-US" w:eastAsia="zh-CN"/>
        </w:rPr>
        <w:t>[22]</w:t>
      </w:r>
      <w:r>
        <w:rPr>
          <w:rFonts w:ascii="Times New Roman" w:cs="Times New Roman"/>
          <w:color w:val="auto"/>
        </w:rPr>
        <w:t>JJF 1059.1</w:t>
      </w:r>
      <w:r>
        <w:rPr>
          <w:rFonts w:hint="eastAsia" w:ascii="Times New Roman" w:cs="Times New Roman"/>
          <w:color w:val="auto"/>
        </w:rPr>
        <w:t>—</w:t>
      </w:r>
      <w:r>
        <w:rPr>
          <w:rFonts w:ascii="Times New Roman" w:cs="Times New Roman"/>
          <w:color w:val="auto"/>
        </w:rPr>
        <w:t xml:space="preserve">2012 </w:t>
      </w:r>
      <w:r>
        <w:rPr>
          <w:rFonts w:hint="eastAsia" w:ascii="Times New Roman" w:cs="Times New Roman"/>
          <w:color w:val="auto"/>
        </w:rPr>
        <w:t>测量不确定度评定和表示</w:t>
      </w:r>
      <w:r>
        <w:rPr>
          <w:rFonts w:hint="eastAsia" w:ascii="Times New Roman" w:cs="Times New Roman"/>
          <w:color w:val="auto"/>
          <w:lang w:eastAsia="zh-CN"/>
        </w:rPr>
        <w:t>。</w:t>
      </w:r>
    </w:p>
    <w:p>
      <w:pPr>
        <w:numPr>
          <w:numId w:val="0"/>
        </w:numPr>
        <w:spacing w:line="360" w:lineRule="auto"/>
        <w:ind w:leftChars="0"/>
        <w:rPr>
          <w:rFonts w:hint="eastAsia" w:eastAsia="黑体"/>
          <w:color w:val="auto"/>
          <w:sz w:val="24"/>
          <w:highlight w:val="none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rPr>
          <w:rFonts w:eastAsia="黑体"/>
          <w:color w:val="auto"/>
          <w:sz w:val="24"/>
          <w:highlight w:val="none"/>
        </w:rPr>
      </w:pPr>
      <w:r>
        <w:rPr>
          <w:rFonts w:eastAsia="黑体"/>
          <w:color w:val="auto"/>
          <w:sz w:val="24"/>
          <w:highlight w:val="none"/>
        </w:rPr>
        <w:t xml:space="preserve"> 结构性编辑的说明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eastAsia="zh-CN"/>
        </w:rPr>
      </w:pPr>
      <w:r>
        <w:rPr>
          <w:rFonts w:hint="eastAsia" w:ascii="Times New Roman" w:cs="Times New Roman"/>
          <w:color w:val="auto"/>
          <w:lang w:eastAsia="zh-CN"/>
        </w:rPr>
        <w:t>保留了ISO/IEC的前言，其主要介绍本标准的历史发展情况。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eastAsia="zh-CN"/>
        </w:rPr>
      </w:pPr>
      <w:r>
        <w:rPr>
          <w:rFonts w:hint="eastAsia" w:ascii="Times New Roman" w:cs="Times New Roman"/>
          <w:color w:val="auto"/>
          <w:lang w:eastAsia="zh-CN"/>
        </w:rPr>
        <w:t>国际标准的“0 Introduction”改为本标准的“引言”，该引言按</w:t>
      </w:r>
      <w:r>
        <w:rPr>
          <w:rFonts w:hint="eastAsia" w:ascii="Times New Roman" w:cs="Times New Roman"/>
          <w:color w:val="auto"/>
          <w:lang w:val="en-US" w:eastAsia="zh-CN"/>
        </w:rPr>
        <w:t>GB/T 1.1不设</w:t>
      </w:r>
      <w:r>
        <w:rPr>
          <w:rFonts w:hint="eastAsia" w:ascii="Times New Roman" w:cs="Times New Roman"/>
          <w:color w:val="auto"/>
          <w:lang w:eastAsia="zh-CN"/>
        </w:rPr>
        <w:t>章节号，但内容中保留了国际标准中的原条款编号，以便于其他章节对该部分的引用。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="425" w:leftChars="0" w:hanging="425" w:firstLineChars="0"/>
        <w:rPr>
          <w:rFonts w:hint="eastAsia" w:ascii="Times New Roman" w:cs="Times New Roman"/>
          <w:color w:val="auto"/>
          <w:lang w:eastAsia="zh-CN"/>
        </w:rPr>
      </w:pPr>
      <w:r>
        <w:rPr>
          <w:rFonts w:hint="eastAsia" w:ascii="Times New Roman" w:cs="Times New Roman"/>
          <w:color w:val="auto"/>
          <w:lang w:eastAsia="zh-CN"/>
        </w:rPr>
        <w:t>删除了国际标准中参考文献后面的字母索引。因为该索引主要是文中用到的一些关键词出现的条款对照表，并不是文中所用到的术语索引，起草小组认为翻译成中文后使用意义不大，因此予以删除。并删除引言中0</w:t>
      </w:r>
      <w:r>
        <w:rPr>
          <w:rFonts w:hint="eastAsia" w:ascii="Times New Roman" w:cs="Times New Roman"/>
          <w:color w:val="auto"/>
          <w:lang w:val="en-US" w:eastAsia="zh-CN"/>
        </w:rPr>
        <w:t>.</w:t>
      </w:r>
      <w:r>
        <w:rPr>
          <w:rFonts w:hint="eastAsia" w:ascii="Times New Roman" w:cs="Times New Roman"/>
          <w:color w:val="auto"/>
          <w:lang w:eastAsia="zh-CN"/>
        </w:rPr>
        <w:t>6款相关的内容。</w:t>
      </w:r>
    </w:p>
    <w:p>
      <w:pPr>
        <w:spacing w:line="360" w:lineRule="auto"/>
        <w:rPr>
          <w:rFonts w:hint="eastAsia" w:eastAsia="宋体"/>
          <w:color w:val="0000FF"/>
          <w:sz w:val="24"/>
          <w:highlight w:val="none"/>
          <w:lang w:val="en-US" w:eastAsia="zh-CN"/>
        </w:rPr>
      </w:pPr>
    </w:p>
    <w:p>
      <w:pPr>
        <w:spacing w:line="360" w:lineRule="auto"/>
        <w:ind w:firstLine="570"/>
        <w:rPr>
          <w:color w:val="0000FF"/>
          <w:sz w:val="24"/>
          <w:highlight w:val="none"/>
        </w:rPr>
      </w:pP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sz w:val="24"/>
        </w:rPr>
        <w:t xml:space="preserve">                                           </w:t>
      </w:r>
      <w:r>
        <w:rPr>
          <w:rFonts w:eastAsia="黑体"/>
          <w:sz w:val="28"/>
          <w:szCs w:val="28"/>
        </w:rPr>
        <w:t xml:space="preserve"> 标准起草组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eastAsia="黑体"/>
          <w:sz w:val="28"/>
          <w:szCs w:val="28"/>
        </w:rPr>
        <w:t xml:space="preserve">                                   二〇一</w:t>
      </w: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年</w:t>
      </w:r>
      <w:r>
        <w:rPr>
          <w:rFonts w:hint="eastAsia" w:eastAsia="黑体"/>
          <w:sz w:val="28"/>
          <w:szCs w:val="28"/>
          <w:lang w:eastAsia="zh-CN"/>
        </w:rPr>
        <w:t>三</w:t>
      </w:r>
      <w:r>
        <w:rPr>
          <w:rFonts w:eastAsia="黑体"/>
          <w:sz w:val="28"/>
          <w:szCs w:val="28"/>
        </w:rPr>
        <w:t>月</w:t>
      </w:r>
      <w:r>
        <w:rPr>
          <w:rFonts w:hint="eastAsia" w:eastAsia="黑体"/>
          <w:sz w:val="28"/>
          <w:szCs w:val="28"/>
          <w:lang w:eastAsia="zh-CN"/>
        </w:rPr>
        <w:t>十</w:t>
      </w:r>
      <w:r>
        <w:rPr>
          <w:rFonts w:eastAsia="黑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92859847">
    <w:nsid w:val="4D0F79C7"/>
    <w:multiLevelType w:val="multilevel"/>
    <w:tmpl w:val="4D0F79C7"/>
    <w:lvl w:ilvl="0" w:tentative="1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26660378">
    <w:nsid w:val="55091C1A"/>
    <w:multiLevelType w:val="singleLevel"/>
    <w:tmpl w:val="55091C1A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26660362">
    <w:nsid w:val="55091C0A"/>
    <w:multiLevelType w:val="multilevel"/>
    <w:tmpl w:val="55091C0A"/>
    <w:lvl w:ilvl="0" w:tentative="1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26660400">
    <w:nsid w:val="55091C30"/>
    <w:multiLevelType w:val="singleLevel"/>
    <w:tmpl w:val="55091C30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89325124">
    <w:nsid w:val="2F0C2544"/>
    <w:multiLevelType w:val="multilevel"/>
    <w:tmpl w:val="2F0C2544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chineseCountingThousand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decimal"/>
      <w:lvlText w:val="%3．"/>
      <w:lvlJc w:val="left"/>
      <w:pPr>
        <w:tabs>
          <w:tab w:val="left" w:pos="1770"/>
        </w:tabs>
        <w:ind w:left="1770" w:hanging="93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68958951">
    <w:nsid w:val="3FB704E7"/>
    <w:multiLevelType w:val="multilevel"/>
    <w:tmpl w:val="3FB704E7"/>
    <w:lvl w:ilvl="0" w:tentative="1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89325124"/>
  </w:num>
  <w:num w:numId="2">
    <w:abstractNumId w:val="1292859847"/>
  </w:num>
  <w:num w:numId="3">
    <w:abstractNumId w:val="1068958951"/>
  </w:num>
  <w:num w:numId="4">
    <w:abstractNumId w:val="1426660378"/>
  </w:num>
  <w:num w:numId="5">
    <w:abstractNumId w:val="1426660362"/>
  </w:num>
  <w:num w:numId="6">
    <w:abstractNumId w:val="14266604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477F"/>
    <w:rsid w:val="00032FDB"/>
    <w:rsid w:val="000737DD"/>
    <w:rsid w:val="000E3B0A"/>
    <w:rsid w:val="00107E9C"/>
    <w:rsid w:val="0014060C"/>
    <w:rsid w:val="00140D30"/>
    <w:rsid w:val="0015314B"/>
    <w:rsid w:val="001A33BE"/>
    <w:rsid w:val="001F2BE8"/>
    <w:rsid w:val="00244B2A"/>
    <w:rsid w:val="00281B1F"/>
    <w:rsid w:val="003955AF"/>
    <w:rsid w:val="003B7607"/>
    <w:rsid w:val="00411545"/>
    <w:rsid w:val="0048164C"/>
    <w:rsid w:val="004E0832"/>
    <w:rsid w:val="0053001C"/>
    <w:rsid w:val="00540B52"/>
    <w:rsid w:val="00565FAB"/>
    <w:rsid w:val="00566B2B"/>
    <w:rsid w:val="005E6B60"/>
    <w:rsid w:val="006211F2"/>
    <w:rsid w:val="00622016"/>
    <w:rsid w:val="00634B10"/>
    <w:rsid w:val="006748E3"/>
    <w:rsid w:val="006A35EE"/>
    <w:rsid w:val="00725A2C"/>
    <w:rsid w:val="007C5FF0"/>
    <w:rsid w:val="0085657D"/>
    <w:rsid w:val="00861906"/>
    <w:rsid w:val="0087058B"/>
    <w:rsid w:val="00893DCE"/>
    <w:rsid w:val="008C3903"/>
    <w:rsid w:val="008E5971"/>
    <w:rsid w:val="008F4256"/>
    <w:rsid w:val="009534B9"/>
    <w:rsid w:val="00982EB3"/>
    <w:rsid w:val="00986194"/>
    <w:rsid w:val="009864B0"/>
    <w:rsid w:val="00A60A88"/>
    <w:rsid w:val="00A77607"/>
    <w:rsid w:val="00B25B23"/>
    <w:rsid w:val="00B260E1"/>
    <w:rsid w:val="00B85926"/>
    <w:rsid w:val="00B85D6C"/>
    <w:rsid w:val="00BA4F60"/>
    <w:rsid w:val="00BF6782"/>
    <w:rsid w:val="00C1325B"/>
    <w:rsid w:val="00CC2F50"/>
    <w:rsid w:val="00CD6364"/>
    <w:rsid w:val="00F40887"/>
    <w:rsid w:val="00F7477F"/>
    <w:rsid w:val="00FB6D6E"/>
    <w:rsid w:val="00FC043B"/>
    <w:rsid w:val="07047F94"/>
    <w:rsid w:val="0F166238"/>
    <w:rsid w:val="12BF1D5A"/>
    <w:rsid w:val="15B525EA"/>
    <w:rsid w:val="1EB52C70"/>
    <w:rsid w:val="21124CCD"/>
    <w:rsid w:val="26126405"/>
    <w:rsid w:val="2F7708EA"/>
    <w:rsid w:val="2FEC47B3"/>
    <w:rsid w:val="31E02DBE"/>
    <w:rsid w:val="374E39C9"/>
    <w:rsid w:val="38F44BE4"/>
    <w:rsid w:val="420610DF"/>
    <w:rsid w:val="4345644E"/>
    <w:rsid w:val="47100E0E"/>
    <w:rsid w:val="4B434FF0"/>
    <w:rsid w:val="5139571A"/>
    <w:rsid w:val="5CF1718A"/>
    <w:rsid w:val="61B827C1"/>
    <w:rsid w:val="6CF4154E"/>
    <w:rsid w:val="725561A2"/>
    <w:rsid w:val="76F37B1F"/>
    <w:rsid w:val="7A3157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nhideWhenUsed/>
    <w:uiPriority w:val="0"/>
    <w:rPr/>
  </w:style>
  <w:style w:type="character" w:styleId="7">
    <w:name w:val="Hyperlink"/>
    <w:basedOn w:val="5"/>
    <w:unhideWhenUsed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18"/>
    <w:basedOn w:val="1"/>
    <w:uiPriority w:val="0"/>
    <w:pPr>
      <w:widowControl/>
      <w:jc w:val="left"/>
    </w:pPr>
    <w:rPr>
      <w:kern w:val="0"/>
      <w:szCs w:val="21"/>
    </w:rPr>
  </w:style>
  <w:style w:type="paragraph" w:customStyle="1" w:styleId="11">
    <w:name w:val="p17"/>
    <w:basedOn w:val="1"/>
    <w:uiPriority w:val="0"/>
    <w:pPr>
      <w:widowControl/>
      <w:jc w:val="left"/>
    </w:pPr>
    <w:rPr>
      <w:kern w:val="0"/>
      <w:szCs w:val="21"/>
    </w:rPr>
  </w:style>
  <w:style w:type="paragraph" w:customStyle="1" w:styleId="12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3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4">
    <w:name w:val="二级条标题"/>
    <w:uiPriority w:val="0"/>
    <w:pPr>
      <w:outlineLvl w:val="3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2015-02-05T02:31:00Z</dcterms:created>
  <dc:creator>00535</dc:creator>
  <cp:lastModifiedBy>Frank.Lin</cp:lastModifiedBy>
  <dcterms:modified xsi:type="dcterms:W3CDTF">2015-03-23T01:21:11Z</dcterms:modified>
  <dc:title>张处：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