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B11" w:rsidRDefault="00A916AB">
      <w:pPr>
        <w:spacing w:beforeLines="10" w:before="31"/>
        <w:ind w:left="840" w:hangingChars="350" w:hanging="840"/>
        <w:jc w:val="left"/>
        <w:rPr>
          <w:rFonts w:asciiTheme="minorEastAsia" w:hAnsiTheme="minorEastAsia"/>
          <w:sz w:val="24"/>
          <w:szCs w:val="24"/>
        </w:rPr>
      </w:pPr>
      <w:bookmarkStart w:id="0" w:name="_GoBack"/>
      <w:bookmarkEnd w:id="0"/>
      <w:r>
        <w:rPr>
          <w:rFonts w:asciiTheme="minorEastAsia" w:hAnsiTheme="minorEastAsia" w:hint="eastAsia"/>
          <w:sz w:val="24"/>
          <w:szCs w:val="24"/>
        </w:rPr>
        <w:t>附件1-1</w:t>
      </w:r>
      <w:r>
        <w:rPr>
          <w:rFonts w:ascii="宋体" w:hAnsi="宋体" w:hint="eastAsia"/>
          <w:sz w:val="24"/>
        </w:rPr>
        <w:t>(</w:t>
      </w:r>
      <w:r w:rsidR="00C733C9">
        <w:rPr>
          <w:rFonts w:asciiTheme="minorEastAsia" w:hAnsiTheme="minorEastAsia" w:hint="eastAsia"/>
          <w:sz w:val="24"/>
          <w:szCs w:val="24"/>
        </w:rPr>
        <w:t>CNAS-CL06</w:t>
      </w:r>
      <w:r>
        <w:rPr>
          <w:rFonts w:asciiTheme="minorEastAsia" w:hAnsiTheme="minorEastAsia" w:hint="eastAsia"/>
          <w:sz w:val="24"/>
          <w:szCs w:val="24"/>
        </w:rPr>
        <w:t>:</w:t>
      </w:r>
      <w:r w:rsidR="00C733C9">
        <w:rPr>
          <w:rFonts w:asciiTheme="minorEastAsia" w:hAnsiTheme="minorEastAsia" w:hint="eastAsia"/>
          <w:sz w:val="24"/>
          <w:szCs w:val="24"/>
        </w:rPr>
        <w:t>2018</w:t>
      </w:r>
      <w:r>
        <w:rPr>
          <w:rFonts w:ascii="宋体" w:hAnsi="宋体" w:hint="eastAsia"/>
          <w:sz w:val="24"/>
        </w:rPr>
        <w:t>)</w:t>
      </w:r>
    </w:p>
    <w:p w:rsidR="00997B11" w:rsidRDefault="00A916AB">
      <w:pPr>
        <w:spacing w:beforeLines="10" w:before="31"/>
        <w:ind w:firstLineChars="600" w:firstLine="1928"/>
        <w:rPr>
          <w:rFonts w:ascii="黑体" w:eastAsia="黑体" w:hAnsi="黑体"/>
          <w:b/>
          <w:sz w:val="32"/>
          <w:szCs w:val="32"/>
        </w:rPr>
      </w:pPr>
      <w:r>
        <w:rPr>
          <w:rFonts w:ascii="黑体" w:eastAsia="黑体" w:hAnsi="黑体" w:hint="eastAsia"/>
          <w:b/>
          <w:sz w:val="32"/>
          <w:szCs w:val="32"/>
        </w:rPr>
        <w:t>IACUC的职责与管理要求核查表</w:t>
      </w:r>
    </w:p>
    <w:p w:rsidR="00997B11" w:rsidRDefault="00997B11">
      <w:pPr>
        <w:spacing w:beforeLines="10" w:before="31"/>
        <w:ind w:left="735" w:hangingChars="350" w:hanging="735"/>
        <w:jc w:val="center"/>
        <w:rPr>
          <w:rFonts w:ascii="黑体" w:eastAsia="黑体" w:hAnsi="黑体"/>
          <w:szCs w:val="21"/>
        </w:rPr>
      </w:pPr>
    </w:p>
    <w:p w:rsidR="00997B11" w:rsidRDefault="00A916AB">
      <w:pPr>
        <w:spacing w:line="300" w:lineRule="auto"/>
        <w:jc w:val="left"/>
        <w:rPr>
          <w:rFonts w:asciiTheme="minorEastAsia" w:hAnsiTheme="minorEastAsia"/>
          <w:sz w:val="24"/>
          <w:szCs w:val="24"/>
        </w:rPr>
      </w:pPr>
      <w:r>
        <w:rPr>
          <w:rFonts w:asciiTheme="minorEastAsia" w:hAnsiTheme="minorEastAsia" w:hint="eastAsia"/>
          <w:sz w:val="24"/>
          <w:szCs w:val="24"/>
        </w:rPr>
        <w:t>本核查表依据</w:t>
      </w:r>
      <w:r w:rsidR="00C733C9">
        <w:rPr>
          <w:rFonts w:asciiTheme="minorEastAsia" w:hAnsiTheme="minorEastAsia" w:hint="eastAsia"/>
          <w:sz w:val="24"/>
          <w:szCs w:val="24"/>
        </w:rPr>
        <w:t>CNAS-CL06</w:t>
      </w:r>
      <w:r>
        <w:rPr>
          <w:rFonts w:asciiTheme="minorEastAsia" w:hAnsiTheme="minorEastAsia" w:hint="eastAsia"/>
          <w:sz w:val="24"/>
          <w:szCs w:val="24"/>
        </w:rPr>
        <w:t>标准要求附件A编制，编号附件A一致。</w:t>
      </w:r>
    </w:p>
    <w:p w:rsidR="00997B11" w:rsidRDefault="00A916AB">
      <w:pPr>
        <w:spacing w:beforeLines="10" w:before="31" w:line="400" w:lineRule="exact"/>
        <w:rPr>
          <w:rFonts w:ascii="方正仿宋简体" w:eastAsia="方正仿宋简体" w:hAnsiTheme="minorEastAsia"/>
          <w:sz w:val="24"/>
          <w:szCs w:val="24"/>
        </w:rPr>
      </w:pPr>
      <w:r>
        <w:rPr>
          <w:rFonts w:ascii="方正仿宋简体" w:eastAsia="方正仿宋简体" w:hAnsiTheme="minorEastAsia" w:hint="eastAsia"/>
          <w:sz w:val="24"/>
          <w:szCs w:val="24"/>
        </w:rPr>
        <w:t>填表说明：“评审结果”应逐个条款进行评价， Y表示“符合”，Y`表示存在观察项或需说明的问题，N表示“不符合”， N/A表示“不适用”。“评审说明”可按机构相应的文件和制度的规定等填写，当用Y</w:t>
      </w:r>
      <w:r>
        <w:rPr>
          <w:rFonts w:ascii="宋体" w:eastAsia="宋体" w:hAnsi="宋体" w:cs="宋体" w:hint="eastAsia"/>
          <w:sz w:val="24"/>
          <w:szCs w:val="24"/>
        </w:rPr>
        <w:t>´</w:t>
      </w:r>
      <w:r>
        <w:rPr>
          <w:rFonts w:ascii="方正仿宋简体" w:eastAsia="方正仿宋简体" w:hAnsi="方正仿宋简体" w:cs="方正仿宋简体" w:hint="eastAsia"/>
          <w:sz w:val="24"/>
          <w:szCs w:val="24"/>
        </w:rPr>
        <w:t>、</w:t>
      </w:r>
      <w:r>
        <w:rPr>
          <w:rFonts w:ascii="方正仿宋简体" w:eastAsia="方正仿宋简体" w:hAnsiTheme="minorEastAsia" w:hint="eastAsia"/>
          <w:sz w:val="24"/>
          <w:szCs w:val="24"/>
        </w:rPr>
        <w:t>N、N/A表示时必须同时在“评审说明”中详细描述。</w:t>
      </w:r>
    </w:p>
    <w:tbl>
      <w:tblPr>
        <w:tblStyle w:val="a5"/>
        <w:tblW w:w="8789" w:type="dxa"/>
        <w:tblInd w:w="-176" w:type="dxa"/>
        <w:tblLayout w:type="fixed"/>
        <w:tblLook w:val="04A0" w:firstRow="1" w:lastRow="0" w:firstColumn="1" w:lastColumn="0" w:noHBand="0" w:noVBand="1"/>
      </w:tblPr>
      <w:tblGrid>
        <w:gridCol w:w="936"/>
        <w:gridCol w:w="5603"/>
        <w:gridCol w:w="1125"/>
        <w:gridCol w:w="1125"/>
      </w:tblGrid>
      <w:tr w:rsidR="00997B11">
        <w:tc>
          <w:tcPr>
            <w:tcW w:w="936" w:type="dxa"/>
            <w:vAlign w:val="center"/>
          </w:tcPr>
          <w:p w:rsidR="00997B11" w:rsidRDefault="00A916AB">
            <w:pPr>
              <w:spacing w:beforeLines="10" w:before="31"/>
              <w:jc w:val="center"/>
              <w:rPr>
                <w:rFonts w:asciiTheme="minorEastAsia" w:hAnsiTheme="minorEastAsia"/>
                <w:b/>
                <w:sz w:val="24"/>
                <w:szCs w:val="24"/>
              </w:rPr>
            </w:pPr>
            <w:r>
              <w:rPr>
                <w:rFonts w:asciiTheme="minorEastAsia" w:hAnsiTheme="minorEastAsia" w:hint="eastAsia"/>
                <w:b/>
                <w:sz w:val="24"/>
                <w:szCs w:val="24"/>
              </w:rPr>
              <w:t>条款</w:t>
            </w:r>
          </w:p>
        </w:tc>
        <w:tc>
          <w:tcPr>
            <w:tcW w:w="5603" w:type="dxa"/>
            <w:vAlign w:val="center"/>
          </w:tcPr>
          <w:p w:rsidR="00997B11" w:rsidRDefault="00A916AB">
            <w:pPr>
              <w:spacing w:beforeLines="10" w:before="31"/>
              <w:jc w:val="center"/>
              <w:rPr>
                <w:rFonts w:asciiTheme="minorEastAsia" w:hAnsiTheme="minorEastAsia"/>
                <w:b/>
                <w:sz w:val="24"/>
                <w:szCs w:val="24"/>
              </w:rPr>
            </w:pPr>
            <w:r>
              <w:rPr>
                <w:rFonts w:asciiTheme="minorEastAsia" w:hAnsiTheme="minorEastAsia" w:hint="eastAsia"/>
                <w:b/>
                <w:sz w:val="24"/>
                <w:szCs w:val="24"/>
              </w:rPr>
              <w:t>核查依据</w:t>
            </w:r>
          </w:p>
        </w:tc>
        <w:tc>
          <w:tcPr>
            <w:tcW w:w="1125" w:type="dxa"/>
            <w:vAlign w:val="center"/>
          </w:tcPr>
          <w:p w:rsidR="00997B11" w:rsidRDefault="00A916AB">
            <w:pPr>
              <w:spacing w:beforeLines="10" w:before="31"/>
              <w:jc w:val="center"/>
              <w:rPr>
                <w:rFonts w:asciiTheme="minorEastAsia" w:hAnsiTheme="minorEastAsia"/>
                <w:b/>
                <w:sz w:val="24"/>
                <w:szCs w:val="24"/>
              </w:rPr>
            </w:pPr>
            <w:r>
              <w:rPr>
                <w:rFonts w:asciiTheme="minorEastAsia" w:hAnsiTheme="minorEastAsia" w:hint="eastAsia"/>
                <w:b/>
                <w:sz w:val="24"/>
                <w:szCs w:val="24"/>
              </w:rPr>
              <w:t>评审结果</w:t>
            </w:r>
          </w:p>
        </w:tc>
        <w:tc>
          <w:tcPr>
            <w:tcW w:w="1125" w:type="dxa"/>
            <w:vAlign w:val="center"/>
          </w:tcPr>
          <w:p w:rsidR="00997B11" w:rsidRDefault="00A916AB">
            <w:pPr>
              <w:spacing w:beforeLines="10" w:before="31"/>
              <w:jc w:val="center"/>
              <w:rPr>
                <w:rFonts w:asciiTheme="minorEastAsia" w:hAnsiTheme="minorEastAsia"/>
                <w:b/>
                <w:sz w:val="24"/>
                <w:szCs w:val="24"/>
              </w:rPr>
            </w:pPr>
            <w:r>
              <w:rPr>
                <w:rFonts w:asciiTheme="minorEastAsia" w:hAnsiTheme="minorEastAsia" w:hint="eastAsia"/>
                <w:b/>
                <w:sz w:val="24"/>
                <w:szCs w:val="24"/>
              </w:rPr>
              <w:t>评审说明</w:t>
            </w:r>
          </w:p>
        </w:tc>
      </w:tr>
      <w:tr w:rsidR="00997B11">
        <w:tc>
          <w:tcPr>
            <w:tcW w:w="936" w:type="dxa"/>
          </w:tcPr>
          <w:p w:rsidR="00997B11" w:rsidRDefault="00A916AB">
            <w:pPr>
              <w:spacing w:beforeLines="70" w:before="218" w:afterLines="70" w:after="218"/>
              <w:rPr>
                <w:rFonts w:asciiTheme="minorEastAsia" w:hAnsiTheme="minorEastAsia"/>
                <w:sz w:val="24"/>
                <w:szCs w:val="24"/>
              </w:rPr>
            </w:pPr>
            <w:r>
              <w:rPr>
                <w:rFonts w:asciiTheme="minorEastAsia" w:hAnsiTheme="minorEastAsia" w:hint="eastAsia"/>
                <w:sz w:val="24"/>
                <w:szCs w:val="24"/>
              </w:rPr>
              <w:t>A.2</w:t>
            </w:r>
          </w:p>
        </w:tc>
        <w:tc>
          <w:tcPr>
            <w:tcW w:w="5603" w:type="dxa"/>
          </w:tcPr>
          <w:p w:rsidR="00997B11" w:rsidRDefault="00A916AB">
            <w:pPr>
              <w:spacing w:beforeLines="70" w:before="218" w:afterLines="70" w:after="218"/>
              <w:rPr>
                <w:rFonts w:asciiTheme="minorEastAsia" w:hAnsiTheme="minorEastAsia"/>
                <w:sz w:val="24"/>
                <w:szCs w:val="24"/>
              </w:rPr>
            </w:pPr>
            <w:r>
              <w:rPr>
                <w:rFonts w:asciiTheme="minorEastAsia" w:hAnsiTheme="minorEastAsia" w:hint="eastAsia"/>
                <w:sz w:val="24"/>
                <w:szCs w:val="24"/>
              </w:rPr>
              <w:t xml:space="preserve">IACUC的组成 </w:t>
            </w:r>
          </w:p>
        </w:tc>
        <w:tc>
          <w:tcPr>
            <w:tcW w:w="1125" w:type="dxa"/>
          </w:tcPr>
          <w:p w:rsidR="00997B11" w:rsidRDefault="00997B11">
            <w:pPr>
              <w:spacing w:beforeLines="70" w:before="218" w:afterLines="70" w:after="218"/>
              <w:rPr>
                <w:rFonts w:asciiTheme="minorEastAsia" w:hAnsiTheme="minorEastAsia"/>
                <w:sz w:val="24"/>
                <w:szCs w:val="24"/>
              </w:rPr>
            </w:pPr>
          </w:p>
        </w:tc>
        <w:tc>
          <w:tcPr>
            <w:tcW w:w="1125" w:type="dxa"/>
          </w:tcPr>
          <w:p w:rsidR="00997B11" w:rsidRDefault="00997B11">
            <w:pPr>
              <w:spacing w:beforeLines="70" w:before="218" w:afterLines="70" w:after="218"/>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A.2.1</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IACUC的成员和任职期限应由机构法人、最高管理者或其授权人任命。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A.2.2  </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IACUC应直接对掌握资源的管理层负责并报告。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A.2.3</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IACUC应至少由三人组成，至少包括一名兽医师、一名非本机构的从事社会科学、人文科学或法律工作的人员、一名熟悉机构所从事涉及动物工作的科学工作者。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A.2.4</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应任命一名负责人，但不宜由兽医师担任。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A.2.5</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如果机构规模较大或涉及的专业领域较多，应增加IACUC成员的数量，科学工作者和兽医师的专业领域应可覆盖机构所涉及的专业领域和所用动物，以提供适当的专业判断。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A.2.6</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机构管理层人员不宜作为IACUC成员。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70" w:before="218" w:afterLines="70" w:after="218"/>
              <w:rPr>
                <w:rFonts w:asciiTheme="minorEastAsia" w:hAnsiTheme="minorEastAsia"/>
                <w:sz w:val="24"/>
                <w:szCs w:val="24"/>
              </w:rPr>
            </w:pPr>
            <w:r>
              <w:rPr>
                <w:rFonts w:asciiTheme="minorEastAsia" w:hAnsiTheme="minorEastAsia" w:hint="eastAsia"/>
                <w:sz w:val="24"/>
                <w:szCs w:val="24"/>
              </w:rPr>
              <w:t xml:space="preserve">A.3  </w:t>
            </w:r>
          </w:p>
        </w:tc>
        <w:tc>
          <w:tcPr>
            <w:tcW w:w="5603" w:type="dxa"/>
          </w:tcPr>
          <w:p w:rsidR="00997B11" w:rsidRDefault="00A916AB">
            <w:pPr>
              <w:spacing w:beforeLines="70" w:before="218" w:afterLines="70" w:after="218"/>
              <w:rPr>
                <w:rFonts w:asciiTheme="minorEastAsia" w:hAnsiTheme="minorEastAsia"/>
                <w:sz w:val="24"/>
                <w:szCs w:val="24"/>
              </w:rPr>
            </w:pPr>
            <w:r>
              <w:rPr>
                <w:rFonts w:asciiTheme="minorEastAsia" w:hAnsiTheme="minorEastAsia" w:hint="eastAsia"/>
                <w:sz w:val="24"/>
                <w:szCs w:val="24"/>
              </w:rPr>
              <w:t>职责</w:t>
            </w:r>
          </w:p>
        </w:tc>
        <w:tc>
          <w:tcPr>
            <w:tcW w:w="1125" w:type="dxa"/>
          </w:tcPr>
          <w:p w:rsidR="00997B11" w:rsidRDefault="00997B11">
            <w:pPr>
              <w:spacing w:beforeLines="70" w:before="218" w:afterLines="70" w:after="218"/>
              <w:rPr>
                <w:rFonts w:asciiTheme="minorEastAsia" w:hAnsiTheme="minorEastAsia"/>
                <w:sz w:val="24"/>
                <w:szCs w:val="24"/>
              </w:rPr>
            </w:pPr>
          </w:p>
        </w:tc>
        <w:tc>
          <w:tcPr>
            <w:tcW w:w="1125" w:type="dxa"/>
          </w:tcPr>
          <w:p w:rsidR="00997B11" w:rsidRDefault="00997B11">
            <w:pPr>
              <w:spacing w:beforeLines="70" w:before="218" w:afterLines="70" w:after="218"/>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A.3.1</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  IACUC的职责是保证机构在从事与动物相关的活动时，以人道和科学的方式管理和使用实验动物，并符合法规和标准的要求。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A.3.2  </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独立审核并批准或否定机构的动物使用计划。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cs="Times New Roman"/>
                <w:sz w:val="24"/>
                <w:szCs w:val="24"/>
              </w:rPr>
            </w:pPr>
            <w:r>
              <w:rPr>
                <w:rFonts w:asciiTheme="minorEastAsia" w:hAnsiTheme="minorEastAsia" w:cs="Times New Roman"/>
                <w:sz w:val="24"/>
                <w:szCs w:val="24"/>
              </w:rPr>
              <w:t>A.3.3</w:t>
            </w:r>
            <w:r>
              <w:rPr>
                <w:rFonts w:asciiTheme="minorEastAsia" w:hAnsiTheme="minorEastAsia" w:hint="eastAsia"/>
                <w:sz w:val="24"/>
                <w:szCs w:val="24"/>
              </w:rPr>
              <w:t xml:space="preserve">  </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与研究人员合作制定灾难应急计划，内容主要涉及人员安全、动物处置、应急培训及演练等。 </w:t>
            </w:r>
          </w:p>
        </w:tc>
        <w:tc>
          <w:tcPr>
            <w:tcW w:w="1125" w:type="dxa"/>
          </w:tcPr>
          <w:p w:rsidR="00997B11" w:rsidRDefault="00997B11">
            <w:pPr>
              <w:spacing w:beforeLines="10" w:before="31"/>
              <w:rPr>
                <w:rFonts w:asciiTheme="minorEastAsia" w:hAnsiTheme="minorEastAsia" w:cs="Times New Roman"/>
                <w:sz w:val="24"/>
                <w:szCs w:val="24"/>
              </w:rPr>
            </w:pPr>
          </w:p>
        </w:tc>
        <w:tc>
          <w:tcPr>
            <w:tcW w:w="1125" w:type="dxa"/>
          </w:tcPr>
          <w:p w:rsidR="00997B11" w:rsidRDefault="00997B11">
            <w:pPr>
              <w:spacing w:beforeLines="10" w:before="31"/>
              <w:rPr>
                <w:rFonts w:asciiTheme="minorEastAsia" w:hAnsiTheme="minorEastAsia" w:cs="Times New Roman"/>
                <w:sz w:val="24"/>
                <w:szCs w:val="24"/>
              </w:rPr>
            </w:pPr>
          </w:p>
        </w:tc>
      </w:tr>
      <w:tr w:rsidR="00997B11">
        <w:trPr>
          <w:trHeight w:val="1934"/>
        </w:trPr>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A.3.4</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IACUC应就机构活动与法规标准要求的符合性进行定期进行现场监督检查，包括所有区域，检查形式和频次应与机构的规模、复杂程度以及实验内容相适应，但在实验期间至少每六个月一次。IACUC可以邀请非成员专业人员参与检查和提供专家意见。 </w:t>
            </w:r>
          </w:p>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注:对重点区域和重点活动应考虑增加监督检查的</w:t>
            </w:r>
            <w:r>
              <w:rPr>
                <w:rFonts w:asciiTheme="minorEastAsia" w:hAnsiTheme="minorEastAsia" w:hint="eastAsia"/>
                <w:sz w:val="24"/>
                <w:szCs w:val="24"/>
              </w:rPr>
              <w:lastRenderedPageBreak/>
              <w:t xml:space="preserve">力度。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lastRenderedPageBreak/>
              <w:t>A.3.5</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应公开检查依据和要求，培训机构相关的人员。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A.3.6</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应编制检查报告并形成文件，需要时，提交主管部门审核。检查报告的结论应明确，包括“通过”、“改进后可通过”、“不通过”或“搁置检查”。检查报告中应包括IACUC成员的各种相同和不同见解，应有所有参加检查的IACUC成员的签字。每次参与检查的成员应包括兽医师、科技工作者和非本机构人员，并覆盖机构所涉及的专业领域和所用动物。检查报告应至少包括以下内容：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a)</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动物使用部门和人员介绍；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b)</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参与检查的IACUC成员；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c)</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IACUC成员对独立性、公正性和结果真实性的声明和承诺；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d)</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检查目的、依据和检查计划；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e)</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对涉及动物的实验计划的检查结果；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f)</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对动物使用目的和必需使用动物原因的检查结果；</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g)</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对使用动物数量和种类适宜性的检查结果；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h)</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对动物来源和运输的检查结果；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i)</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对动物饲养和预防医学管理的检查结果；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j)</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对动物医护和实施人道终点的检查结果；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k)  </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对动物饲养环境的检查结果；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l)  </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对妥善维护房舍及支持设施的检查结果；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m)  </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对与实验动物相关的职业健康安全的检查结果；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n)  </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对人员培训和能力的检查结果；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o)</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对风险评估与应急计划的检查结果；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p)  </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严重不符合、一般不符合及需要关注的事项；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q)</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对灾难应急计划的检查结果，如果有，对灾难发生后如何保护人与动物的检查结果；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r)  </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结论和建议。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A.3.7  </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IACUC检查应特别关注的事项包括（但不限于）：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a)  </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人道终止时机的计划、实施时机、实施效果、实施过程以及实施人员的能力等；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b)  </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实验中非预期效果对动物福利和质量的影响；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c)  </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动物保定措施的必要性和适宜性，以及出现不良后果的补救措施等；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lastRenderedPageBreak/>
              <w:t>d)</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在同一动物身上实施多项手术的必要性和安死术等；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e)  </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为了实验而对动物饮水和饮食限制可能产生的不良后果及应对措施等；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f)</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使用非医用级材料的问题；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g)</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现场调查研究的问题；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h)</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使用农畜等动物的政策以及涉及的动物福利和动物质量问题等；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i)</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是否有动物替代方法等。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A.3.8</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应就检查报告与机构相关人员沟通，但不应因任何压力修改检查报告。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A.3.9</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适用时，IACUC应向更高管理层或主管部门报告检查结果。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A.3.10</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对执行中之动物使用计划，若其内容有重大修订，应对修订部份进行检查，对不符合之处可要求作修正或否决其内容。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A.3.11  </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针对动物使用计划、设施及人员培训等相关内容提供建议并协助机构改进动物管理和使用的能力，以符合法规、标准的要求。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A.3.12</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发生涉及动物相关投诉、抱怨时，协助机构提供客观真实的专业意见和建议。如果机构授权，也可以独立进行调查。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A.3.13</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协助机构与主管部门和公众进行沟通和交流。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A.3.14</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有权制止所发现的不符合规定的行为和事件，并向机构负责人或主管部门报告。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A.3.15  </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保护机构机密和个人隐私。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A.3.16  </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当法规有要求时，应采取适当的方式向社会公开有关信息。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A.3.17</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IACUC应在满足法规标准要求的前提下维护机构的权益。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20" w:before="62" w:afterLines="20" w:after="62"/>
              <w:rPr>
                <w:rFonts w:asciiTheme="minorEastAsia" w:hAnsiTheme="minorEastAsia"/>
                <w:sz w:val="24"/>
                <w:szCs w:val="24"/>
              </w:rPr>
            </w:pPr>
            <w:r>
              <w:rPr>
                <w:rFonts w:asciiTheme="minorEastAsia" w:hAnsiTheme="minorEastAsia" w:hint="eastAsia"/>
                <w:sz w:val="24"/>
                <w:szCs w:val="24"/>
              </w:rPr>
              <w:t xml:space="preserve">A.4  </w:t>
            </w:r>
          </w:p>
        </w:tc>
        <w:tc>
          <w:tcPr>
            <w:tcW w:w="5603" w:type="dxa"/>
          </w:tcPr>
          <w:p w:rsidR="00997B11" w:rsidRDefault="00A916AB">
            <w:pPr>
              <w:spacing w:beforeLines="20" w:before="62" w:afterLines="20" w:after="62"/>
              <w:rPr>
                <w:rFonts w:asciiTheme="minorEastAsia" w:hAnsiTheme="minorEastAsia"/>
                <w:sz w:val="24"/>
                <w:szCs w:val="24"/>
              </w:rPr>
            </w:pPr>
            <w:r>
              <w:rPr>
                <w:rFonts w:asciiTheme="minorEastAsia" w:hAnsiTheme="minorEastAsia" w:hint="eastAsia"/>
                <w:sz w:val="24"/>
                <w:szCs w:val="24"/>
              </w:rPr>
              <w:t xml:space="preserve">管理要求 </w:t>
            </w:r>
          </w:p>
        </w:tc>
        <w:tc>
          <w:tcPr>
            <w:tcW w:w="1125" w:type="dxa"/>
          </w:tcPr>
          <w:p w:rsidR="00997B11" w:rsidRDefault="00997B11">
            <w:pPr>
              <w:spacing w:beforeLines="20" w:before="62" w:afterLines="20" w:after="62"/>
              <w:rPr>
                <w:rFonts w:asciiTheme="minorEastAsia" w:hAnsiTheme="minorEastAsia"/>
                <w:sz w:val="24"/>
                <w:szCs w:val="24"/>
              </w:rPr>
            </w:pPr>
          </w:p>
        </w:tc>
        <w:tc>
          <w:tcPr>
            <w:tcW w:w="1125" w:type="dxa"/>
          </w:tcPr>
          <w:p w:rsidR="00997B11" w:rsidRDefault="00997B11">
            <w:pPr>
              <w:spacing w:beforeLines="20" w:before="62" w:afterLines="20" w:after="62"/>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A.4.1</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IACUC应有明确的章程和运作管理程序。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A.4.2</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IACUC应制定作业手册，以指导IACUC正确履行职责、培训新的成员和明示IACUC的工作依据、准则、关注的重点、判定标准和工作流程等，保证其履行职责之完整性、公正性和一致性。</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A.4.3</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IACUC的运作机制应保证其专业判断能力和所作决定不受机构任何压力的影响，同时应保证每个成员的专业判断能力不受来自IACUC内部或外部的任何影响。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cs="Times New Roman"/>
                <w:sz w:val="24"/>
                <w:szCs w:val="24"/>
              </w:rPr>
            </w:pPr>
            <w:r>
              <w:rPr>
                <w:rFonts w:asciiTheme="minorEastAsia" w:hAnsiTheme="minorEastAsia" w:cs="Times New Roman"/>
                <w:sz w:val="24"/>
                <w:szCs w:val="24"/>
              </w:rPr>
              <w:t>A.4.4</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IACUC的运作机制应保证与动物使用者、动物管理人</w:t>
            </w:r>
            <w:r>
              <w:rPr>
                <w:rFonts w:asciiTheme="minorEastAsia" w:hAnsiTheme="minorEastAsia" w:hint="eastAsia"/>
                <w:sz w:val="24"/>
                <w:szCs w:val="24"/>
              </w:rPr>
              <w:lastRenderedPageBreak/>
              <w:t xml:space="preserve">员、及负责的兽医师之间保持密切的合作关系，以保证制定出高质量的动物管理及使用计划。 </w:t>
            </w:r>
          </w:p>
        </w:tc>
        <w:tc>
          <w:tcPr>
            <w:tcW w:w="1125" w:type="dxa"/>
          </w:tcPr>
          <w:p w:rsidR="00997B11" w:rsidRDefault="00997B11">
            <w:pPr>
              <w:spacing w:beforeLines="10" w:before="31"/>
              <w:rPr>
                <w:rFonts w:asciiTheme="minorEastAsia" w:hAnsiTheme="minorEastAsia" w:cs="Times New Roman"/>
                <w:sz w:val="24"/>
                <w:szCs w:val="24"/>
              </w:rPr>
            </w:pPr>
          </w:p>
        </w:tc>
        <w:tc>
          <w:tcPr>
            <w:tcW w:w="1125" w:type="dxa"/>
          </w:tcPr>
          <w:p w:rsidR="00997B11" w:rsidRDefault="00997B11">
            <w:pPr>
              <w:spacing w:beforeLines="10" w:before="31"/>
              <w:rPr>
                <w:rFonts w:asciiTheme="minorEastAsia" w:hAnsiTheme="minorEastAsia" w:cs="Times New Roman"/>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lastRenderedPageBreak/>
              <w:t>A.4.5</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IACUC的运作机制应保证其成员之间职权的均衡和代表利益方的均衡，应保留和反映成员的各种相同和不同的见解或意见。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A.4.6</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应明确实施检查和作决定的机制,可以采取全体委员会制或指派部分委员作决定的机制。如果采取全体委员会制，参加的委员人数应大于50%，同时，赞成的票数也应大于50%。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A.4.7</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应保证和维持成员对国内外相关领域最新进展的了解和其专业判断能力，并提供所需的资源和培训。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A.4.8</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应保证成员的职业健康安全，并提供所需的资源和培训。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A.4.9</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应保证IACUC履行其职责所需的资源。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A.4.10</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IACUC成员应主动申报与自己相关的项目并回避对其的检查等活动。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A.4.11</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应有预防机制和处罚机制，以期避免不公正、不诚信和失职行为的发生。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A.4.12</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IACUC成员可以兼职，但应避免利益冲突。 </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r w:rsidR="00997B11">
        <w:tc>
          <w:tcPr>
            <w:tcW w:w="936"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 xml:space="preserve">A.4.13  </w:t>
            </w:r>
          </w:p>
        </w:tc>
        <w:tc>
          <w:tcPr>
            <w:tcW w:w="5603" w:type="dxa"/>
          </w:tcPr>
          <w:p w:rsidR="00997B11" w:rsidRDefault="00A916AB">
            <w:pPr>
              <w:spacing w:beforeLines="10" w:before="31"/>
              <w:rPr>
                <w:rFonts w:asciiTheme="minorEastAsia" w:hAnsiTheme="minorEastAsia"/>
                <w:sz w:val="24"/>
                <w:szCs w:val="24"/>
              </w:rPr>
            </w:pPr>
            <w:r>
              <w:rPr>
                <w:rFonts w:asciiTheme="minorEastAsia" w:hAnsiTheme="minorEastAsia" w:hint="eastAsia"/>
                <w:sz w:val="24"/>
                <w:szCs w:val="24"/>
              </w:rPr>
              <w:t>IACUC不应聘用有任何不公正、不诚信和失职行为记录的人员。</w:t>
            </w:r>
          </w:p>
        </w:tc>
        <w:tc>
          <w:tcPr>
            <w:tcW w:w="1125" w:type="dxa"/>
          </w:tcPr>
          <w:p w:rsidR="00997B11" w:rsidRDefault="00997B11">
            <w:pPr>
              <w:spacing w:beforeLines="10" w:before="31"/>
              <w:rPr>
                <w:rFonts w:asciiTheme="minorEastAsia" w:hAnsiTheme="minorEastAsia"/>
                <w:sz w:val="24"/>
                <w:szCs w:val="24"/>
              </w:rPr>
            </w:pPr>
          </w:p>
        </w:tc>
        <w:tc>
          <w:tcPr>
            <w:tcW w:w="1125" w:type="dxa"/>
          </w:tcPr>
          <w:p w:rsidR="00997B11" w:rsidRDefault="00997B11">
            <w:pPr>
              <w:spacing w:beforeLines="10" w:before="31"/>
              <w:rPr>
                <w:rFonts w:asciiTheme="minorEastAsia" w:hAnsiTheme="minorEastAsia"/>
                <w:sz w:val="24"/>
                <w:szCs w:val="24"/>
              </w:rPr>
            </w:pPr>
          </w:p>
        </w:tc>
      </w:tr>
    </w:tbl>
    <w:p w:rsidR="00997B11" w:rsidRDefault="00997B11">
      <w:pPr>
        <w:rPr>
          <w:szCs w:val="21"/>
        </w:rPr>
      </w:pPr>
    </w:p>
    <w:sectPr w:rsidR="00997B11">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7F8B" w:rsidRDefault="006E7F8B">
      <w:r>
        <w:separator/>
      </w:r>
    </w:p>
  </w:endnote>
  <w:endnote w:type="continuationSeparator" w:id="0">
    <w:p w:rsidR="006E7F8B" w:rsidRDefault="006E7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Arial Unicode MS"/>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657" w:rsidRDefault="00A7665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509" w:rsidRPr="00F96509" w:rsidRDefault="00F96509" w:rsidP="00F96509">
    <w:pPr>
      <w:pBdr>
        <w:top w:val="single" w:sz="4" w:space="1" w:color="auto"/>
      </w:pBdr>
      <w:snapToGrid w:val="0"/>
      <w:jc w:val="center"/>
      <w:rPr>
        <w:rFonts w:asciiTheme="majorEastAsia" w:eastAsiaTheme="majorEastAsia" w:hAnsiTheme="majorEastAsia"/>
        <w:sz w:val="18"/>
      </w:rPr>
    </w:pPr>
    <w:r w:rsidRPr="00F96509">
      <w:rPr>
        <w:rFonts w:asciiTheme="majorEastAsia" w:eastAsiaTheme="majorEastAsia" w:hAnsiTheme="majorEastAsia" w:hint="eastAsia"/>
        <w:sz w:val="18"/>
      </w:rPr>
      <w:t xml:space="preserve">第 </w:t>
    </w:r>
    <w:r w:rsidRPr="00F96509">
      <w:rPr>
        <w:rFonts w:asciiTheme="majorEastAsia" w:eastAsiaTheme="majorEastAsia" w:hAnsiTheme="majorEastAsia" w:hint="eastAsia"/>
        <w:sz w:val="18"/>
      </w:rPr>
      <w:fldChar w:fldCharType="begin"/>
    </w:r>
    <w:r w:rsidRPr="00F96509">
      <w:rPr>
        <w:rFonts w:asciiTheme="majorEastAsia" w:eastAsiaTheme="majorEastAsia" w:hAnsiTheme="majorEastAsia" w:hint="eastAsia"/>
        <w:sz w:val="18"/>
      </w:rPr>
      <w:instrText xml:space="preserve"> PAGE  \* MERGEFORMAT </w:instrText>
    </w:r>
    <w:r w:rsidRPr="00F96509">
      <w:rPr>
        <w:rFonts w:asciiTheme="majorEastAsia" w:eastAsiaTheme="majorEastAsia" w:hAnsiTheme="majorEastAsia" w:hint="eastAsia"/>
        <w:sz w:val="18"/>
      </w:rPr>
      <w:fldChar w:fldCharType="separate"/>
    </w:r>
    <w:r w:rsidR="00313189">
      <w:rPr>
        <w:rFonts w:asciiTheme="majorEastAsia" w:eastAsiaTheme="majorEastAsia" w:hAnsiTheme="majorEastAsia"/>
        <w:noProof/>
        <w:sz w:val="18"/>
      </w:rPr>
      <w:t>1</w:t>
    </w:r>
    <w:r w:rsidRPr="00F96509">
      <w:rPr>
        <w:rFonts w:asciiTheme="majorEastAsia" w:eastAsiaTheme="majorEastAsia" w:hAnsiTheme="majorEastAsia" w:hint="eastAsia"/>
        <w:sz w:val="18"/>
      </w:rPr>
      <w:fldChar w:fldCharType="end"/>
    </w:r>
    <w:r w:rsidRPr="00F96509">
      <w:rPr>
        <w:rFonts w:asciiTheme="majorEastAsia" w:eastAsiaTheme="majorEastAsia" w:hAnsiTheme="majorEastAsia" w:hint="eastAsia"/>
        <w:sz w:val="18"/>
      </w:rPr>
      <w:t xml:space="preserve"> 页 共 </w:t>
    </w:r>
    <w:r w:rsidRPr="00F96509">
      <w:rPr>
        <w:rFonts w:asciiTheme="majorEastAsia" w:eastAsiaTheme="majorEastAsia" w:hAnsiTheme="majorEastAsia" w:hint="eastAsia"/>
        <w:sz w:val="18"/>
      </w:rPr>
      <w:fldChar w:fldCharType="begin"/>
    </w:r>
    <w:r w:rsidRPr="00F96509">
      <w:rPr>
        <w:rFonts w:asciiTheme="majorEastAsia" w:eastAsiaTheme="majorEastAsia" w:hAnsiTheme="majorEastAsia" w:hint="eastAsia"/>
        <w:sz w:val="18"/>
      </w:rPr>
      <w:instrText xml:space="preserve"> NUMPAGES  \* MERGEFORMAT </w:instrText>
    </w:r>
    <w:r w:rsidRPr="00F96509">
      <w:rPr>
        <w:rFonts w:asciiTheme="majorEastAsia" w:eastAsiaTheme="majorEastAsia" w:hAnsiTheme="majorEastAsia" w:hint="eastAsia"/>
        <w:sz w:val="18"/>
      </w:rPr>
      <w:fldChar w:fldCharType="separate"/>
    </w:r>
    <w:r w:rsidR="00313189">
      <w:rPr>
        <w:rFonts w:asciiTheme="majorEastAsia" w:eastAsiaTheme="majorEastAsia" w:hAnsiTheme="majorEastAsia"/>
        <w:noProof/>
        <w:sz w:val="18"/>
      </w:rPr>
      <w:t>4</w:t>
    </w:r>
    <w:r w:rsidRPr="00F96509">
      <w:rPr>
        <w:rFonts w:asciiTheme="majorEastAsia" w:eastAsiaTheme="majorEastAsia" w:hAnsiTheme="majorEastAsia" w:hint="eastAsia"/>
        <w:sz w:val="18"/>
      </w:rPr>
      <w:fldChar w:fldCharType="end"/>
    </w:r>
    <w:r w:rsidRPr="00F96509">
      <w:rPr>
        <w:rFonts w:asciiTheme="majorEastAsia" w:eastAsiaTheme="majorEastAsia" w:hAnsiTheme="majorEastAsia" w:hint="eastAsia"/>
        <w:sz w:val="18"/>
      </w:rPr>
      <w:t xml:space="preserve"> 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657" w:rsidRDefault="00A7665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7F8B" w:rsidRDefault="006E7F8B">
      <w:r>
        <w:separator/>
      </w:r>
    </w:p>
  </w:footnote>
  <w:footnote w:type="continuationSeparator" w:id="0">
    <w:p w:rsidR="006E7F8B" w:rsidRDefault="006E7F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657" w:rsidRDefault="00A76657">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B11" w:rsidRDefault="00EB7AC7" w:rsidP="00EB7AC7">
    <w:pPr>
      <w:pStyle w:val="a4"/>
      <w:jc w:val="left"/>
    </w:pPr>
    <w:r w:rsidRPr="009B2D13">
      <w:rPr>
        <w:rFonts w:ascii="宋体" w:hAnsi="宋体" w:hint="eastAsia"/>
        <w:kern w:val="0"/>
      </w:rPr>
      <w:t>实验动物机构认可评审报告</w:t>
    </w:r>
    <w:r w:rsidR="00A916AB">
      <w:rPr>
        <w:rFonts w:ascii="Arial" w:hAnsi="Arial" w:cs="Arial" w:hint="eastAsia"/>
        <w:kern w:val="0"/>
      </w:rPr>
      <w:t xml:space="preserve">                                                  </w:t>
    </w:r>
    <w:r w:rsidR="00637DA5" w:rsidRPr="00637DA5">
      <w:rPr>
        <w:rFonts w:ascii="宋体" w:hAnsi="宋体"/>
      </w:rPr>
      <w:t>CNAS-PD38-01-02</w:t>
    </w:r>
    <w:r w:rsidR="00637DA5">
      <w:rPr>
        <w:rFonts w:ascii="宋体" w:hAnsi="宋体" w:hint="eastAsia"/>
      </w:rPr>
      <w:t xml:space="preserve"> </w:t>
    </w:r>
    <w:r w:rsidR="00A76657">
      <w:rPr>
        <w:rFonts w:ascii="宋体" w:hAnsi="宋体" w:hint="eastAsia"/>
      </w:rPr>
      <w:t>D1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657" w:rsidRDefault="00A76657">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850F5"/>
    <w:rsid w:val="000325E1"/>
    <w:rsid w:val="0007129B"/>
    <w:rsid w:val="000A0048"/>
    <w:rsid w:val="002E4EF2"/>
    <w:rsid w:val="00313189"/>
    <w:rsid w:val="0032271C"/>
    <w:rsid w:val="00336B7F"/>
    <w:rsid w:val="003D0E27"/>
    <w:rsid w:val="005159EC"/>
    <w:rsid w:val="005E3E69"/>
    <w:rsid w:val="00623CD9"/>
    <w:rsid w:val="00637DA5"/>
    <w:rsid w:val="00684C7B"/>
    <w:rsid w:val="006E7F8B"/>
    <w:rsid w:val="007476E1"/>
    <w:rsid w:val="008600F8"/>
    <w:rsid w:val="008D0974"/>
    <w:rsid w:val="008E56CA"/>
    <w:rsid w:val="00953D0B"/>
    <w:rsid w:val="00976DE3"/>
    <w:rsid w:val="00997B11"/>
    <w:rsid w:val="009C2DE5"/>
    <w:rsid w:val="00A76657"/>
    <w:rsid w:val="00A916AB"/>
    <w:rsid w:val="00B007CB"/>
    <w:rsid w:val="00B5368F"/>
    <w:rsid w:val="00B850F5"/>
    <w:rsid w:val="00C0394E"/>
    <w:rsid w:val="00C733C9"/>
    <w:rsid w:val="00CC2F83"/>
    <w:rsid w:val="00D02469"/>
    <w:rsid w:val="00D25372"/>
    <w:rsid w:val="00EB7AC7"/>
    <w:rsid w:val="00EE099A"/>
    <w:rsid w:val="00F05042"/>
    <w:rsid w:val="00F96509"/>
    <w:rsid w:val="00FB4F67"/>
    <w:rsid w:val="5AAA7AB6"/>
    <w:rsid w:val="71DB21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460</Words>
  <Characters>2625</Characters>
  <Application>Microsoft Office Word</Application>
  <DocSecurity>0</DocSecurity>
  <Lines>21</Lines>
  <Paragraphs>6</Paragraphs>
  <ScaleCrop>false</ScaleCrop>
  <Company>Lenovo</Company>
  <LinksUpToDate>false</LinksUpToDate>
  <CharactersWithSpaces>3079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hancx</cp:lastModifiedBy>
  <cp:revision>22</cp:revision>
  <dcterms:created xsi:type="dcterms:W3CDTF">2016-05-17T06:54:00Z</dcterms:created>
  <dcterms:modified xsi:type="dcterms:W3CDTF">2021-02-08T08:14:00Z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