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AC2" w:rsidRPr="00755384" w:rsidRDefault="00755384" w:rsidP="00755384">
      <w:pPr>
        <w:jc w:val="center"/>
        <w:rPr>
          <w:rFonts w:ascii="仿宋" w:eastAsia="仿宋" w:hAnsi="仿宋"/>
          <w:b/>
          <w:sz w:val="28"/>
          <w:szCs w:val="28"/>
        </w:rPr>
      </w:pPr>
      <w:r w:rsidRPr="00755384">
        <w:rPr>
          <w:rFonts w:ascii="仿宋" w:eastAsia="仿宋" w:hAnsi="仿宋" w:hint="eastAsia"/>
          <w:b/>
          <w:sz w:val="28"/>
          <w:szCs w:val="28"/>
        </w:rPr>
        <w:t>《</w:t>
      </w:r>
      <w:r w:rsidR="00F45745" w:rsidRPr="00F45745">
        <w:rPr>
          <w:rFonts w:ascii="仿宋" w:eastAsia="仿宋" w:hAnsi="仿宋" w:cs="黑体" w:hint="eastAsia"/>
          <w:b/>
          <w:kern w:val="0"/>
          <w:sz w:val="28"/>
          <w:szCs w:val="28"/>
        </w:rPr>
        <w:t>良好生产规范（GMP）认证机构认可方案</w:t>
      </w:r>
      <w:r w:rsidRPr="00755384">
        <w:rPr>
          <w:rFonts w:ascii="仿宋" w:eastAsia="仿宋" w:hAnsi="仿宋" w:hint="eastAsia"/>
          <w:b/>
          <w:sz w:val="28"/>
          <w:szCs w:val="28"/>
        </w:rPr>
        <w:t>》（CNAS-</w:t>
      </w:r>
      <w:r w:rsidR="00F45745">
        <w:rPr>
          <w:rFonts w:ascii="仿宋" w:eastAsia="仿宋" w:hAnsi="仿宋" w:hint="eastAsia"/>
          <w:b/>
          <w:sz w:val="28"/>
          <w:szCs w:val="28"/>
        </w:rPr>
        <w:t>SC16</w:t>
      </w:r>
      <w:r w:rsidRPr="00755384">
        <w:rPr>
          <w:rFonts w:ascii="仿宋" w:eastAsia="仿宋" w:hAnsi="仿宋" w:hint="eastAsia"/>
          <w:b/>
          <w:sz w:val="28"/>
          <w:szCs w:val="28"/>
        </w:rPr>
        <w:t>0:2023）</w:t>
      </w:r>
    </w:p>
    <w:p w:rsidR="00755384" w:rsidRDefault="00755384" w:rsidP="00755384">
      <w:pPr>
        <w:jc w:val="center"/>
        <w:rPr>
          <w:rFonts w:ascii="仿宋" w:eastAsia="仿宋" w:hAnsi="仿宋"/>
          <w:b/>
          <w:sz w:val="28"/>
          <w:szCs w:val="28"/>
        </w:rPr>
      </w:pPr>
      <w:r w:rsidRPr="00755384">
        <w:rPr>
          <w:rFonts w:ascii="仿宋" w:eastAsia="仿宋" w:hAnsi="仿宋" w:hint="eastAsia"/>
          <w:b/>
          <w:sz w:val="28"/>
          <w:szCs w:val="28"/>
        </w:rPr>
        <w:t>修订说明</w:t>
      </w:r>
    </w:p>
    <w:p w:rsidR="00755384" w:rsidRDefault="00755384" w:rsidP="00755384">
      <w:pPr>
        <w:jc w:val="center"/>
        <w:rPr>
          <w:rFonts w:ascii="仿宋" w:eastAsia="仿宋" w:hAnsi="仿宋"/>
          <w:b/>
          <w:sz w:val="28"/>
          <w:szCs w:val="28"/>
        </w:rPr>
      </w:pPr>
    </w:p>
    <w:p w:rsidR="00755384" w:rsidRPr="00231B6F" w:rsidRDefault="00231B6F" w:rsidP="00231B6F">
      <w:pPr>
        <w:adjustRightInd w:val="0"/>
        <w:snapToGrid w:val="0"/>
        <w:spacing w:line="360" w:lineRule="auto"/>
        <w:jc w:val="left"/>
        <w:rPr>
          <w:rFonts w:ascii="Arial" w:hAnsi="Arial" w:cs="Arial"/>
          <w:color w:val="000000"/>
          <w:kern w:val="0"/>
          <w:sz w:val="24"/>
          <w:szCs w:val="24"/>
        </w:rPr>
      </w:pPr>
      <w:r w:rsidRPr="00231B6F">
        <w:rPr>
          <w:rFonts w:ascii="Arial" w:hAnsi="Arial" w:cs="Arial" w:hint="eastAsia"/>
          <w:color w:val="000000"/>
          <w:kern w:val="0"/>
          <w:sz w:val="24"/>
          <w:szCs w:val="24"/>
        </w:rPr>
        <w:t>背景情况：</w:t>
      </w:r>
    </w:p>
    <w:p w:rsidR="00231B6F" w:rsidRDefault="00231B6F" w:rsidP="00231B6F">
      <w:pPr>
        <w:adjustRightInd w:val="0"/>
        <w:snapToGrid w:val="0"/>
        <w:spacing w:line="360" w:lineRule="auto"/>
        <w:ind w:firstLineChars="200" w:firstLine="480"/>
        <w:jc w:val="left"/>
        <w:rPr>
          <w:rFonts w:ascii="Arial" w:hAnsi="Arial" w:cs="Arial"/>
          <w:color w:val="000000"/>
          <w:kern w:val="0"/>
          <w:sz w:val="24"/>
          <w:szCs w:val="24"/>
        </w:rPr>
      </w:pPr>
      <w:r>
        <w:rPr>
          <w:rFonts w:ascii="Arial" w:hAnsi="Arial" w:cs="Arial" w:hint="eastAsia"/>
          <w:color w:val="000000"/>
          <w:kern w:val="0"/>
          <w:sz w:val="24"/>
          <w:szCs w:val="24"/>
        </w:rPr>
        <w:t>国际标准化组织（</w:t>
      </w:r>
      <w:r>
        <w:rPr>
          <w:rFonts w:ascii="Arial" w:hAnsi="Arial" w:cs="Arial" w:hint="eastAsia"/>
          <w:color w:val="000000"/>
          <w:kern w:val="0"/>
          <w:sz w:val="24"/>
          <w:szCs w:val="24"/>
        </w:rPr>
        <w:t>ISO</w:t>
      </w:r>
      <w:r>
        <w:rPr>
          <w:rFonts w:ascii="Arial" w:hAnsi="Arial" w:cs="Arial" w:hint="eastAsia"/>
          <w:color w:val="000000"/>
          <w:kern w:val="0"/>
          <w:sz w:val="24"/>
          <w:szCs w:val="24"/>
        </w:rPr>
        <w:t>）于</w:t>
      </w:r>
      <w:r>
        <w:rPr>
          <w:rFonts w:ascii="Arial" w:hAnsi="Arial" w:cs="Arial" w:hint="eastAsia"/>
          <w:color w:val="000000"/>
          <w:kern w:val="0"/>
          <w:sz w:val="24"/>
          <w:szCs w:val="24"/>
        </w:rPr>
        <w:t>2022</w:t>
      </w:r>
      <w:r>
        <w:rPr>
          <w:rFonts w:ascii="Arial" w:hAnsi="Arial" w:cs="Arial" w:hint="eastAsia"/>
          <w:color w:val="000000"/>
          <w:kern w:val="0"/>
          <w:sz w:val="24"/>
          <w:szCs w:val="24"/>
        </w:rPr>
        <w:t>年</w:t>
      </w:r>
      <w:r>
        <w:rPr>
          <w:rFonts w:ascii="Arial" w:hAnsi="Arial" w:cs="Arial" w:hint="eastAsia"/>
          <w:color w:val="000000"/>
          <w:kern w:val="0"/>
          <w:sz w:val="24"/>
          <w:szCs w:val="24"/>
        </w:rPr>
        <w:t>6</w:t>
      </w:r>
      <w:r>
        <w:rPr>
          <w:rFonts w:ascii="Arial" w:hAnsi="Arial" w:cs="Arial" w:hint="eastAsia"/>
          <w:color w:val="000000"/>
          <w:kern w:val="0"/>
          <w:sz w:val="24"/>
          <w:szCs w:val="24"/>
        </w:rPr>
        <w:t>月发布了</w:t>
      </w:r>
      <w:r>
        <w:rPr>
          <w:rFonts w:ascii="Arial" w:hAnsi="Arial" w:cs="Arial" w:hint="eastAsia"/>
          <w:color w:val="000000"/>
          <w:kern w:val="0"/>
          <w:sz w:val="24"/>
          <w:szCs w:val="24"/>
        </w:rPr>
        <w:t>ISO 22003-1:2022</w:t>
      </w:r>
      <w:r>
        <w:rPr>
          <w:rFonts w:ascii="Arial" w:hAnsi="Arial" w:cs="Arial" w:hint="eastAsia"/>
          <w:color w:val="000000"/>
          <w:kern w:val="0"/>
          <w:sz w:val="24"/>
          <w:szCs w:val="24"/>
        </w:rPr>
        <w:t>标准代替</w:t>
      </w:r>
      <w:r>
        <w:rPr>
          <w:rFonts w:ascii="Arial" w:hAnsi="Arial" w:cs="Arial" w:hint="eastAsia"/>
          <w:color w:val="000000"/>
          <w:kern w:val="0"/>
          <w:sz w:val="24"/>
          <w:szCs w:val="24"/>
        </w:rPr>
        <w:t>ISO/TS 22003:2013</w:t>
      </w:r>
      <w:r>
        <w:rPr>
          <w:rFonts w:ascii="Arial" w:hAnsi="Arial" w:cs="Arial" w:hint="eastAsia"/>
          <w:color w:val="000000"/>
          <w:kern w:val="0"/>
          <w:sz w:val="24"/>
          <w:szCs w:val="24"/>
        </w:rPr>
        <w:t>。</w:t>
      </w:r>
    </w:p>
    <w:p w:rsidR="00231B6F" w:rsidRDefault="00231B6F" w:rsidP="00231B6F">
      <w:pPr>
        <w:adjustRightInd w:val="0"/>
        <w:snapToGrid w:val="0"/>
        <w:spacing w:line="360" w:lineRule="auto"/>
        <w:ind w:firstLineChars="200" w:firstLine="480"/>
        <w:jc w:val="left"/>
        <w:rPr>
          <w:rFonts w:ascii="Arial" w:hAnsi="Arial" w:cs="Arial" w:hint="eastAsia"/>
          <w:color w:val="000000"/>
          <w:kern w:val="0"/>
          <w:sz w:val="24"/>
          <w:szCs w:val="24"/>
        </w:rPr>
      </w:pPr>
      <w:r w:rsidRPr="002C5516">
        <w:rPr>
          <w:rFonts w:ascii="Arial" w:hAnsi="Arial" w:cs="Arial" w:hint="eastAsia"/>
          <w:color w:val="000000"/>
          <w:kern w:val="0"/>
          <w:sz w:val="24"/>
          <w:szCs w:val="24"/>
        </w:rPr>
        <w:t>2023</w:t>
      </w:r>
      <w:r w:rsidRPr="002C5516">
        <w:rPr>
          <w:rFonts w:ascii="Arial" w:hAnsi="Arial" w:cs="Arial" w:hint="eastAsia"/>
          <w:color w:val="000000"/>
          <w:kern w:val="0"/>
          <w:sz w:val="24"/>
          <w:szCs w:val="24"/>
        </w:rPr>
        <w:t>年</w:t>
      </w:r>
      <w:r w:rsidRPr="002C5516">
        <w:rPr>
          <w:rFonts w:ascii="Arial" w:hAnsi="Arial" w:cs="Arial" w:hint="eastAsia"/>
          <w:color w:val="000000"/>
          <w:kern w:val="0"/>
          <w:sz w:val="24"/>
          <w:szCs w:val="24"/>
        </w:rPr>
        <w:t>1</w:t>
      </w:r>
      <w:r w:rsidRPr="002C5516">
        <w:rPr>
          <w:rFonts w:ascii="Arial" w:hAnsi="Arial" w:cs="Arial" w:hint="eastAsia"/>
          <w:color w:val="000000"/>
          <w:kern w:val="0"/>
          <w:sz w:val="24"/>
          <w:szCs w:val="24"/>
        </w:rPr>
        <w:t>月，国际认可论坛（</w:t>
      </w:r>
      <w:r w:rsidRPr="002C5516">
        <w:rPr>
          <w:rFonts w:ascii="Arial" w:hAnsi="Arial" w:cs="Arial" w:hint="eastAsia"/>
          <w:color w:val="000000"/>
          <w:kern w:val="0"/>
          <w:sz w:val="24"/>
          <w:szCs w:val="24"/>
        </w:rPr>
        <w:t>IAF</w:t>
      </w:r>
      <w:r w:rsidRPr="002C5516">
        <w:rPr>
          <w:rFonts w:ascii="Arial" w:hAnsi="Arial" w:cs="Arial" w:hint="eastAsia"/>
          <w:color w:val="000000"/>
          <w:kern w:val="0"/>
          <w:sz w:val="24"/>
          <w:szCs w:val="24"/>
        </w:rPr>
        <w:t>）食品工作组向技术委员会提交了强制性文件</w:t>
      </w:r>
      <w:r w:rsidRPr="002C5516">
        <w:rPr>
          <w:rFonts w:ascii="Arial" w:hAnsi="Arial" w:cs="Arial" w:hint="eastAsia"/>
          <w:color w:val="000000"/>
          <w:kern w:val="0"/>
          <w:sz w:val="24"/>
          <w:szCs w:val="24"/>
        </w:rPr>
        <w:t>IAF MD XX:2022</w:t>
      </w:r>
      <w:r w:rsidRPr="002C5516">
        <w:rPr>
          <w:rFonts w:ascii="Arial" w:hAnsi="Arial" w:cs="Arial" w:hint="eastAsia"/>
          <w:color w:val="000000"/>
          <w:kern w:val="0"/>
          <w:sz w:val="24"/>
          <w:szCs w:val="24"/>
        </w:rPr>
        <w:t>《</w:t>
      </w:r>
      <w:r w:rsidRPr="002C5516">
        <w:rPr>
          <w:rFonts w:ascii="Arial" w:hAnsi="Arial" w:cs="Arial" w:hint="eastAsia"/>
          <w:color w:val="000000"/>
          <w:kern w:val="0"/>
          <w:sz w:val="24"/>
          <w:szCs w:val="24"/>
        </w:rPr>
        <w:t>ISO 22003-1</w:t>
      </w:r>
      <w:r w:rsidRPr="002C5516">
        <w:rPr>
          <w:rFonts w:ascii="Arial" w:hAnsi="Arial" w:cs="Arial" w:hint="eastAsia"/>
          <w:color w:val="000000"/>
          <w:kern w:val="0"/>
          <w:sz w:val="24"/>
          <w:szCs w:val="24"/>
        </w:rPr>
        <w:t>转换要求》（</w:t>
      </w:r>
      <w:r w:rsidRPr="002C5516">
        <w:rPr>
          <w:rFonts w:ascii="Arial" w:hAnsi="Arial" w:cs="Arial" w:hint="eastAsia"/>
          <w:color w:val="000000"/>
          <w:kern w:val="0"/>
          <w:sz w:val="24"/>
          <w:szCs w:val="24"/>
        </w:rPr>
        <w:t>Transition Requirements For ISO 22003-1:2022</w:t>
      </w:r>
      <w:r w:rsidRPr="002C5516">
        <w:rPr>
          <w:rFonts w:ascii="Arial" w:hAnsi="Arial" w:cs="Arial" w:hint="eastAsia"/>
          <w:color w:val="000000"/>
          <w:kern w:val="0"/>
          <w:sz w:val="24"/>
          <w:szCs w:val="24"/>
        </w:rPr>
        <w:t>）草案，要求</w:t>
      </w:r>
      <w:r w:rsidRPr="002C5516">
        <w:rPr>
          <w:rFonts w:ascii="Arial" w:hAnsi="Arial" w:cs="Arial" w:hint="eastAsia"/>
          <w:color w:val="000000"/>
          <w:kern w:val="0"/>
          <w:sz w:val="24"/>
          <w:szCs w:val="24"/>
        </w:rPr>
        <w:t>2</w:t>
      </w:r>
      <w:r w:rsidRPr="002C5516">
        <w:rPr>
          <w:rFonts w:ascii="Arial" w:hAnsi="Arial" w:cs="Arial" w:hint="eastAsia"/>
          <w:color w:val="000000"/>
          <w:kern w:val="0"/>
          <w:sz w:val="24"/>
          <w:szCs w:val="24"/>
        </w:rPr>
        <w:t>月</w:t>
      </w:r>
      <w:r w:rsidRPr="002C5516">
        <w:rPr>
          <w:rFonts w:ascii="Arial" w:hAnsi="Arial" w:cs="Arial" w:hint="eastAsia"/>
          <w:color w:val="000000"/>
          <w:kern w:val="0"/>
          <w:sz w:val="24"/>
          <w:szCs w:val="24"/>
        </w:rPr>
        <w:t>4</w:t>
      </w:r>
      <w:r w:rsidRPr="002C5516">
        <w:rPr>
          <w:rFonts w:ascii="Arial" w:hAnsi="Arial" w:cs="Arial" w:hint="eastAsia"/>
          <w:color w:val="000000"/>
          <w:kern w:val="0"/>
          <w:sz w:val="24"/>
          <w:szCs w:val="24"/>
        </w:rPr>
        <w:t>日前反馈意见</w:t>
      </w:r>
      <w:r w:rsidR="00F45745">
        <w:rPr>
          <w:rFonts w:ascii="Arial" w:hAnsi="Arial" w:cs="Arial" w:hint="eastAsia"/>
          <w:color w:val="000000"/>
          <w:kern w:val="0"/>
          <w:sz w:val="24"/>
          <w:szCs w:val="24"/>
        </w:rPr>
        <w:t>。</w:t>
      </w:r>
    </w:p>
    <w:p w:rsidR="00F45745" w:rsidRPr="00F45745" w:rsidRDefault="00F45745" w:rsidP="00231B6F">
      <w:pPr>
        <w:adjustRightInd w:val="0"/>
        <w:snapToGrid w:val="0"/>
        <w:spacing w:line="360" w:lineRule="auto"/>
        <w:ind w:firstLineChars="200" w:firstLine="480"/>
        <w:jc w:val="left"/>
        <w:rPr>
          <w:rFonts w:ascii="Arial" w:hAnsi="Arial" w:cs="Arial"/>
          <w:color w:val="000000"/>
          <w:kern w:val="0"/>
          <w:sz w:val="24"/>
          <w:szCs w:val="24"/>
        </w:rPr>
      </w:pPr>
      <w:r>
        <w:rPr>
          <w:rFonts w:ascii="Arial" w:hAnsi="Arial" w:cs="Arial" w:hint="eastAsia"/>
          <w:color w:val="000000"/>
          <w:kern w:val="0"/>
          <w:sz w:val="24"/>
          <w:szCs w:val="24"/>
        </w:rPr>
        <w:t>为便于认证机构及认可机构业务操作，</w:t>
      </w:r>
      <w:r>
        <w:rPr>
          <w:rFonts w:ascii="Arial" w:hAnsi="Arial" w:cs="Arial" w:hint="eastAsia"/>
          <w:color w:val="000000"/>
          <w:kern w:val="0"/>
          <w:sz w:val="24"/>
          <w:szCs w:val="24"/>
        </w:rPr>
        <w:t>CNAS</w:t>
      </w:r>
      <w:r>
        <w:rPr>
          <w:rFonts w:ascii="Arial" w:hAnsi="Arial" w:cs="Arial" w:hint="eastAsia"/>
          <w:color w:val="000000"/>
          <w:kern w:val="0"/>
          <w:sz w:val="24"/>
          <w:szCs w:val="24"/>
        </w:rPr>
        <w:t>开展的</w:t>
      </w:r>
      <w:r>
        <w:rPr>
          <w:rFonts w:ascii="Arial" w:hAnsi="Arial" w:cs="Arial" w:hint="eastAsia"/>
          <w:color w:val="000000"/>
          <w:kern w:val="0"/>
          <w:sz w:val="24"/>
          <w:szCs w:val="24"/>
        </w:rPr>
        <w:t>FSMS</w:t>
      </w:r>
      <w:r>
        <w:rPr>
          <w:rFonts w:ascii="Arial" w:hAnsi="Arial" w:cs="Arial" w:hint="eastAsia"/>
          <w:color w:val="000000"/>
          <w:kern w:val="0"/>
          <w:sz w:val="24"/>
          <w:szCs w:val="24"/>
        </w:rPr>
        <w:t>（</w:t>
      </w:r>
      <w:r>
        <w:rPr>
          <w:rFonts w:ascii="Arial" w:hAnsi="Arial" w:cs="Arial" w:hint="eastAsia"/>
          <w:color w:val="000000"/>
          <w:kern w:val="0"/>
          <w:sz w:val="24"/>
          <w:szCs w:val="24"/>
        </w:rPr>
        <w:t>ISO22000</w:t>
      </w:r>
      <w:r>
        <w:rPr>
          <w:rFonts w:ascii="Arial" w:hAnsi="Arial" w:cs="Arial" w:hint="eastAsia"/>
          <w:color w:val="000000"/>
          <w:kern w:val="0"/>
          <w:sz w:val="24"/>
          <w:szCs w:val="24"/>
        </w:rPr>
        <w:t>）、</w:t>
      </w:r>
      <w:r>
        <w:rPr>
          <w:rFonts w:ascii="Arial" w:hAnsi="Arial" w:cs="Arial" w:hint="eastAsia"/>
          <w:color w:val="000000"/>
          <w:kern w:val="0"/>
          <w:sz w:val="24"/>
          <w:szCs w:val="24"/>
        </w:rPr>
        <w:t>HACCP</w:t>
      </w:r>
      <w:r>
        <w:rPr>
          <w:rFonts w:ascii="Arial" w:hAnsi="Arial" w:cs="Arial" w:hint="eastAsia"/>
          <w:color w:val="000000"/>
          <w:kern w:val="0"/>
          <w:sz w:val="24"/>
          <w:szCs w:val="24"/>
        </w:rPr>
        <w:t>及</w:t>
      </w:r>
      <w:r>
        <w:rPr>
          <w:rFonts w:ascii="Arial" w:hAnsi="Arial" w:cs="Arial" w:hint="eastAsia"/>
          <w:color w:val="000000"/>
          <w:kern w:val="0"/>
          <w:sz w:val="24"/>
          <w:szCs w:val="24"/>
        </w:rPr>
        <w:t>GMP</w:t>
      </w:r>
      <w:r>
        <w:rPr>
          <w:rFonts w:ascii="Arial" w:hAnsi="Arial" w:cs="Arial" w:hint="eastAsia"/>
          <w:color w:val="000000"/>
          <w:kern w:val="0"/>
          <w:sz w:val="24"/>
          <w:szCs w:val="24"/>
        </w:rPr>
        <w:t>领域认证机构业务范围分类保持分类代码及</w:t>
      </w:r>
      <w:r w:rsidR="00753E0B">
        <w:rPr>
          <w:rFonts w:ascii="Arial" w:hAnsi="Arial" w:cs="Arial" w:hint="eastAsia"/>
          <w:color w:val="000000"/>
          <w:kern w:val="0"/>
          <w:sz w:val="24"/>
          <w:szCs w:val="24"/>
        </w:rPr>
        <w:t>分类</w:t>
      </w:r>
      <w:r>
        <w:rPr>
          <w:rFonts w:ascii="Arial" w:hAnsi="Arial" w:cs="Arial" w:hint="eastAsia"/>
          <w:color w:val="000000"/>
          <w:kern w:val="0"/>
          <w:sz w:val="24"/>
          <w:szCs w:val="24"/>
        </w:rPr>
        <w:t>名称协调一致。故本次结合</w:t>
      </w:r>
      <w:r>
        <w:rPr>
          <w:rFonts w:ascii="Arial" w:hAnsi="Arial" w:cs="Arial" w:hint="eastAsia"/>
          <w:color w:val="000000"/>
          <w:kern w:val="0"/>
          <w:sz w:val="24"/>
          <w:szCs w:val="24"/>
        </w:rPr>
        <w:t>ISO22003-1</w:t>
      </w:r>
      <w:r>
        <w:rPr>
          <w:rFonts w:ascii="Arial" w:hAnsi="Arial" w:cs="Arial" w:hint="eastAsia"/>
          <w:color w:val="000000"/>
          <w:kern w:val="0"/>
          <w:sz w:val="24"/>
          <w:szCs w:val="24"/>
        </w:rPr>
        <w:t>修订换版对</w:t>
      </w:r>
      <w:r w:rsidRPr="00F45745">
        <w:rPr>
          <w:rFonts w:ascii="Arial" w:hAnsi="Arial" w:cs="Arial" w:hint="eastAsia"/>
          <w:color w:val="000000"/>
          <w:kern w:val="0"/>
          <w:sz w:val="24"/>
          <w:szCs w:val="24"/>
        </w:rPr>
        <w:t>《良好生产规范（</w:t>
      </w:r>
      <w:r w:rsidRPr="00F45745">
        <w:rPr>
          <w:rFonts w:ascii="Arial" w:hAnsi="Arial" w:cs="Arial" w:hint="eastAsia"/>
          <w:color w:val="000000"/>
          <w:kern w:val="0"/>
          <w:sz w:val="24"/>
          <w:szCs w:val="24"/>
        </w:rPr>
        <w:t>GMP</w:t>
      </w:r>
      <w:r w:rsidRPr="00F45745">
        <w:rPr>
          <w:rFonts w:ascii="Arial" w:hAnsi="Arial" w:cs="Arial" w:hint="eastAsia"/>
          <w:color w:val="000000"/>
          <w:kern w:val="0"/>
          <w:sz w:val="24"/>
          <w:szCs w:val="24"/>
        </w:rPr>
        <w:t>）认证机构认可方案》（</w:t>
      </w:r>
      <w:r w:rsidR="008E0FA1">
        <w:rPr>
          <w:rFonts w:ascii="Arial" w:hAnsi="Arial" w:cs="Arial" w:hint="eastAsia"/>
          <w:color w:val="000000"/>
          <w:kern w:val="0"/>
          <w:sz w:val="24"/>
          <w:szCs w:val="24"/>
        </w:rPr>
        <w:t>原</w:t>
      </w:r>
      <w:r w:rsidRPr="00F45745">
        <w:rPr>
          <w:rFonts w:ascii="Arial" w:hAnsi="Arial" w:cs="Arial" w:hint="eastAsia"/>
          <w:color w:val="000000"/>
          <w:kern w:val="0"/>
          <w:sz w:val="24"/>
          <w:szCs w:val="24"/>
        </w:rPr>
        <w:t>CNAS-SC16</w:t>
      </w:r>
      <w:r>
        <w:rPr>
          <w:rFonts w:ascii="Arial" w:hAnsi="Arial" w:cs="Arial" w:hint="eastAsia"/>
          <w:color w:val="000000"/>
          <w:kern w:val="0"/>
          <w:sz w:val="24"/>
          <w:szCs w:val="24"/>
        </w:rPr>
        <w:t>:2017</w:t>
      </w:r>
      <w:r w:rsidRPr="00F45745">
        <w:rPr>
          <w:rFonts w:ascii="Arial" w:hAnsi="Arial" w:cs="Arial" w:hint="eastAsia"/>
          <w:color w:val="000000"/>
          <w:kern w:val="0"/>
          <w:sz w:val="24"/>
          <w:szCs w:val="24"/>
        </w:rPr>
        <w:t>）</w:t>
      </w:r>
      <w:r>
        <w:rPr>
          <w:rFonts w:ascii="Arial" w:hAnsi="Arial" w:cs="Arial" w:hint="eastAsia"/>
          <w:color w:val="000000"/>
          <w:kern w:val="0"/>
          <w:sz w:val="24"/>
          <w:szCs w:val="24"/>
        </w:rPr>
        <w:t>一并修订。</w:t>
      </w:r>
    </w:p>
    <w:p w:rsidR="00231B6F" w:rsidRDefault="00231B6F" w:rsidP="00231B6F">
      <w:pPr>
        <w:adjustRightInd w:val="0"/>
        <w:snapToGrid w:val="0"/>
        <w:spacing w:line="360" w:lineRule="auto"/>
        <w:ind w:firstLineChars="200" w:firstLine="480"/>
        <w:jc w:val="left"/>
        <w:rPr>
          <w:rFonts w:ascii="Arial" w:hAnsi="Arial" w:cs="Arial"/>
          <w:color w:val="000000"/>
          <w:kern w:val="0"/>
          <w:sz w:val="24"/>
          <w:szCs w:val="24"/>
        </w:rPr>
      </w:pPr>
    </w:p>
    <w:p w:rsidR="00755384" w:rsidRDefault="00231B6F" w:rsidP="00231B6F">
      <w:pPr>
        <w:adjustRightInd w:val="0"/>
        <w:snapToGrid w:val="0"/>
        <w:spacing w:line="360" w:lineRule="auto"/>
        <w:jc w:val="left"/>
        <w:rPr>
          <w:rFonts w:ascii="Arial" w:hAnsi="Arial" w:cs="Arial"/>
          <w:color w:val="000000"/>
          <w:kern w:val="0"/>
          <w:sz w:val="24"/>
          <w:szCs w:val="24"/>
        </w:rPr>
      </w:pPr>
      <w:r w:rsidRPr="00231B6F">
        <w:rPr>
          <w:rFonts w:ascii="Arial" w:hAnsi="Arial" w:cs="Arial" w:hint="eastAsia"/>
          <w:color w:val="000000"/>
          <w:kern w:val="0"/>
          <w:sz w:val="24"/>
          <w:szCs w:val="24"/>
        </w:rPr>
        <w:t>修订建议：</w:t>
      </w:r>
    </w:p>
    <w:p w:rsidR="008E0FA1" w:rsidRDefault="008E0FA1" w:rsidP="008E0FA1">
      <w:pPr>
        <w:adjustRightInd w:val="0"/>
        <w:snapToGrid w:val="0"/>
        <w:spacing w:line="360" w:lineRule="auto"/>
        <w:ind w:firstLineChars="200" w:firstLine="480"/>
        <w:jc w:val="left"/>
        <w:rPr>
          <w:rFonts w:ascii="Arial" w:hAnsi="Arial" w:cs="Arial" w:hint="eastAsia"/>
          <w:color w:val="000000"/>
          <w:kern w:val="0"/>
          <w:sz w:val="24"/>
          <w:szCs w:val="24"/>
        </w:rPr>
      </w:pPr>
      <w:r>
        <w:rPr>
          <w:rFonts w:ascii="Arial" w:hAnsi="Arial" w:cs="Arial" w:hint="eastAsia"/>
          <w:color w:val="000000"/>
          <w:kern w:val="0"/>
          <w:sz w:val="24"/>
          <w:szCs w:val="24"/>
        </w:rPr>
        <w:t>本次拟修订</w:t>
      </w:r>
      <w:r w:rsidRPr="008E0FA1">
        <w:rPr>
          <w:rFonts w:ascii="Arial" w:hAnsi="Arial" w:cs="Arial" w:hint="eastAsia"/>
          <w:color w:val="000000"/>
          <w:kern w:val="0"/>
          <w:sz w:val="24"/>
          <w:szCs w:val="24"/>
        </w:rPr>
        <w:t>《良好生产规范（</w:t>
      </w:r>
      <w:r w:rsidRPr="008E0FA1">
        <w:rPr>
          <w:rFonts w:ascii="Arial" w:hAnsi="Arial" w:cs="Arial" w:hint="eastAsia"/>
          <w:color w:val="000000"/>
          <w:kern w:val="0"/>
          <w:sz w:val="24"/>
          <w:szCs w:val="24"/>
        </w:rPr>
        <w:t>GMP</w:t>
      </w:r>
      <w:r w:rsidRPr="008E0FA1">
        <w:rPr>
          <w:rFonts w:ascii="Arial" w:hAnsi="Arial" w:cs="Arial" w:hint="eastAsia"/>
          <w:color w:val="000000"/>
          <w:kern w:val="0"/>
          <w:sz w:val="24"/>
          <w:szCs w:val="24"/>
        </w:rPr>
        <w:t>）认证机构认可方案》（原</w:t>
      </w:r>
      <w:r w:rsidRPr="008E0FA1">
        <w:rPr>
          <w:rFonts w:ascii="Arial" w:hAnsi="Arial" w:cs="Arial" w:hint="eastAsia"/>
          <w:color w:val="000000"/>
          <w:kern w:val="0"/>
          <w:sz w:val="24"/>
          <w:szCs w:val="24"/>
        </w:rPr>
        <w:t>CNAS-SC16:2017</w:t>
      </w:r>
      <w:r w:rsidR="00753E0B">
        <w:rPr>
          <w:rFonts w:ascii="Arial" w:hAnsi="Arial" w:cs="Arial" w:hint="eastAsia"/>
          <w:color w:val="000000"/>
          <w:kern w:val="0"/>
          <w:sz w:val="24"/>
          <w:szCs w:val="24"/>
        </w:rPr>
        <w:t>，拟修订后编号调整为</w:t>
      </w:r>
      <w:r w:rsidR="00753E0B">
        <w:rPr>
          <w:rFonts w:ascii="Arial" w:hAnsi="Arial" w:cs="Arial" w:hint="eastAsia"/>
          <w:color w:val="000000"/>
          <w:kern w:val="0"/>
          <w:sz w:val="24"/>
          <w:szCs w:val="24"/>
        </w:rPr>
        <w:t>CNAS-SC160:2023</w:t>
      </w:r>
      <w:r w:rsidRPr="008E0FA1">
        <w:rPr>
          <w:rFonts w:ascii="Arial" w:hAnsi="Arial" w:cs="Arial" w:hint="eastAsia"/>
          <w:color w:val="000000"/>
          <w:kern w:val="0"/>
          <w:sz w:val="24"/>
          <w:szCs w:val="24"/>
        </w:rPr>
        <w:t>）</w:t>
      </w:r>
      <w:r>
        <w:rPr>
          <w:rFonts w:ascii="Arial" w:hAnsi="Arial" w:cs="Arial" w:hint="eastAsia"/>
          <w:color w:val="000000"/>
          <w:kern w:val="0"/>
          <w:sz w:val="24"/>
          <w:szCs w:val="24"/>
        </w:rPr>
        <w:t>的内容变化见附件，主要包括：文件编号调整</w:t>
      </w:r>
      <w:r w:rsidR="00244E79">
        <w:rPr>
          <w:rFonts w:ascii="Arial" w:hAnsi="Arial" w:cs="Arial" w:hint="eastAsia"/>
          <w:color w:val="000000"/>
          <w:kern w:val="0"/>
          <w:sz w:val="24"/>
          <w:szCs w:val="24"/>
        </w:rPr>
        <w:t>更新、</w:t>
      </w:r>
      <w:r w:rsidR="00244E79" w:rsidRPr="00244E79">
        <w:rPr>
          <w:rFonts w:ascii="Arial" w:hAnsi="Arial" w:cs="Arial" w:hint="eastAsia"/>
          <w:color w:val="000000"/>
          <w:kern w:val="0"/>
          <w:sz w:val="24"/>
          <w:szCs w:val="24"/>
        </w:rPr>
        <w:t>GMP</w:t>
      </w:r>
      <w:r w:rsidR="00244E79" w:rsidRPr="00244E79">
        <w:rPr>
          <w:rFonts w:ascii="Arial" w:hAnsi="Arial" w:cs="Arial" w:hint="eastAsia"/>
          <w:color w:val="000000"/>
          <w:kern w:val="0"/>
          <w:sz w:val="24"/>
          <w:szCs w:val="24"/>
        </w:rPr>
        <w:t>认证机构认证业务范围分类</w:t>
      </w:r>
      <w:r w:rsidR="00244E79">
        <w:rPr>
          <w:rFonts w:ascii="Arial" w:hAnsi="Arial" w:cs="Arial" w:hint="eastAsia"/>
          <w:color w:val="000000"/>
          <w:kern w:val="0"/>
          <w:sz w:val="24"/>
          <w:szCs w:val="24"/>
        </w:rPr>
        <w:t>更新（保持与</w:t>
      </w:r>
      <w:r w:rsidR="00244E79">
        <w:rPr>
          <w:rFonts w:ascii="Arial" w:hAnsi="Arial" w:cs="Arial" w:hint="eastAsia"/>
          <w:color w:val="000000"/>
          <w:kern w:val="0"/>
          <w:sz w:val="24"/>
          <w:szCs w:val="24"/>
        </w:rPr>
        <w:t>FSMS</w:t>
      </w:r>
      <w:r w:rsidR="00244E79">
        <w:rPr>
          <w:rFonts w:ascii="Arial" w:hAnsi="Arial" w:cs="Arial" w:hint="eastAsia"/>
          <w:color w:val="000000"/>
          <w:kern w:val="0"/>
          <w:sz w:val="24"/>
          <w:szCs w:val="24"/>
        </w:rPr>
        <w:t>、</w:t>
      </w:r>
      <w:r w:rsidR="00244E79">
        <w:rPr>
          <w:rFonts w:ascii="Arial" w:hAnsi="Arial" w:cs="Arial" w:hint="eastAsia"/>
          <w:color w:val="000000"/>
          <w:kern w:val="0"/>
          <w:sz w:val="24"/>
          <w:szCs w:val="24"/>
        </w:rPr>
        <w:t>HACCP</w:t>
      </w:r>
      <w:r w:rsidR="00244E79">
        <w:rPr>
          <w:rFonts w:ascii="Arial" w:hAnsi="Arial" w:cs="Arial" w:hint="eastAsia"/>
          <w:color w:val="000000"/>
          <w:kern w:val="0"/>
          <w:sz w:val="24"/>
          <w:szCs w:val="24"/>
        </w:rPr>
        <w:t>分类协调一致）、引用文件更新等编辑调整，不涉及其他技术要求调整</w:t>
      </w:r>
      <w:r w:rsidR="00753E0B">
        <w:rPr>
          <w:rFonts w:ascii="Arial" w:hAnsi="Arial" w:cs="Arial" w:hint="eastAsia"/>
          <w:color w:val="000000"/>
          <w:kern w:val="0"/>
          <w:sz w:val="24"/>
          <w:szCs w:val="24"/>
        </w:rPr>
        <w:t>。</w:t>
      </w:r>
      <w:bookmarkStart w:id="0" w:name="_GoBack"/>
      <w:bookmarkEnd w:id="0"/>
    </w:p>
    <w:p w:rsidR="00231B6F" w:rsidRPr="00753E0B" w:rsidRDefault="00231B6F" w:rsidP="00231B6F">
      <w:pPr>
        <w:adjustRightInd w:val="0"/>
        <w:snapToGrid w:val="0"/>
        <w:spacing w:line="360" w:lineRule="auto"/>
        <w:ind w:firstLineChars="200" w:firstLine="480"/>
        <w:jc w:val="left"/>
        <w:rPr>
          <w:rFonts w:ascii="Arial" w:hAnsi="Arial" w:cs="Arial"/>
          <w:color w:val="000000"/>
          <w:kern w:val="0"/>
          <w:sz w:val="24"/>
          <w:szCs w:val="24"/>
        </w:rPr>
      </w:pPr>
    </w:p>
    <w:p w:rsidR="00231B6F" w:rsidRDefault="00231B6F" w:rsidP="00231B6F">
      <w:pPr>
        <w:adjustRightInd w:val="0"/>
        <w:snapToGrid w:val="0"/>
        <w:spacing w:line="360" w:lineRule="auto"/>
        <w:ind w:firstLineChars="200" w:firstLine="480"/>
        <w:jc w:val="right"/>
        <w:rPr>
          <w:rFonts w:ascii="Arial" w:hAnsi="Arial" w:cs="Arial"/>
          <w:color w:val="000000"/>
          <w:kern w:val="0"/>
          <w:sz w:val="24"/>
          <w:szCs w:val="24"/>
        </w:rPr>
      </w:pPr>
      <w:r>
        <w:rPr>
          <w:rFonts w:ascii="Arial" w:hAnsi="Arial" w:cs="Arial" w:hint="eastAsia"/>
          <w:color w:val="000000"/>
          <w:kern w:val="0"/>
          <w:sz w:val="24"/>
          <w:szCs w:val="24"/>
        </w:rPr>
        <w:t>2023</w:t>
      </w:r>
      <w:r>
        <w:rPr>
          <w:rFonts w:ascii="Arial" w:hAnsi="Arial" w:cs="Arial" w:hint="eastAsia"/>
          <w:color w:val="000000"/>
          <w:kern w:val="0"/>
          <w:sz w:val="24"/>
          <w:szCs w:val="24"/>
        </w:rPr>
        <w:t>年</w:t>
      </w:r>
      <w:r>
        <w:rPr>
          <w:rFonts w:ascii="Arial" w:hAnsi="Arial" w:cs="Arial" w:hint="eastAsia"/>
          <w:color w:val="000000"/>
          <w:kern w:val="0"/>
          <w:sz w:val="24"/>
          <w:szCs w:val="24"/>
        </w:rPr>
        <w:t>1</w:t>
      </w:r>
      <w:r>
        <w:rPr>
          <w:rFonts w:ascii="Arial" w:hAnsi="Arial" w:cs="Arial" w:hint="eastAsia"/>
          <w:color w:val="000000"/>
          <w:kern w:val="0"/>
          <w:sz w:val="24"/>
          <w:szCs w:val="24"/>
        </w:rPr>
        <w:t>月</w:t>
      </w:r>
      <w:r>
        <w:rPr>
          <w:rFonts w:ascii="Arial" w:hAnsi="Arial" w:cs="Arial" w:hint="eastAsia"/>
          <w:color w:val="000000"/>
          <w:kern w:val="0"/>
          <w:sz w:val="24"/>
          <w:szCs w:val="24"/>
        </w:rPr>
        <w:t>13</w:t>
      </w:r>
      <w:r>
        <w:rPr>
          <w:rFonts w:ascii="Arial" w:hAnsi="Arial" w:cs="Arial" w:hint="eastAsia"/>
          <w:color w:val="000000"/>
          <w:kern w:val="0"/>
          <w:sz w:val="24"/>
          <w:szCs w:val="24"/>
        </w:rPr>
        <w:t>日</w:t>
      </w:r>
    </w:p>
    <w:p w:rsidR="00231B6F" w:rsidRDefault="00231B6F">
      <w:pPr>
        <w:widowControl/>
        <w:jc w:val="left"/>
        <w:rPr>
          <w:rFonts w:ascii="Arial" w:hAnsi="Arial" w:cs="Arial"/>
          <w:color w:val="000000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24"/>
          <w:szCs w:val="24"/>
        </w:rPr>
        <w:br w:type="page"/>
      </w:r>
    </w:p>
    <w:p w:rsidR="00F45745" w:rsidRPr="00346F18" w:rsidRDefault="00F45745" w:rsidP="00F45745">
      <w:pPr>
        <w:jc w:val="center"/>
        <w:rPr>
          <w:rFonts w:ascii="仿宋" w:eastAsia="仿宋" w:hAnsi="仿宋"/>
          <w:b/>
          <w:sz w:val="32"/>
          <w:szCs w:val="32"/>
        </w:rPr>
      </w:pPr>
      <w:r w:rsidRPr="00346F18">
        <w:rPr>
          <w:rFonts w:ascii="仿宋" w:eastAsia="仿宋" w:hAnsi="仿宋" w:hint="eastAsia"/>
          <w:b/>
          <w:sz w:val="32"/>
          <w:szCs w:val="32"/>
        </w:rPr>
        <w:lastRenderedPageBreak/>
        <w:t>《良好生产规范（GMP）认证机构认可方案》（SC16修订为SC160）修订差异对照表</w:t>
      </w:r>
    </w:p>
    <w:tbl>
      <w:tblPr>
        <w:tblStyle w:val="a5"/>
        <w:tblW w:w="9316" w:type="dxa"/>
        <w:tblLook w:val="04A0" w:firstRow="1" w:lastRow="0" w:firstColumn="1" w:lastColumn="0" w:noHBand="0" w:noVBand="1"/>
      </w:tblPr>
      <w:tblGrid>
        <w:gridCol w:w="652"/>
        <w:gridCol w:w="1176"/>
        <w:gridCol w:w="2467"/>
        <w:gridCol w:w="1176"/>
        <w:gridCol w:w="2578"/>
        <w:gridCol w:w="1267"/>
      </w:tblGrid>
      <w:tr w:rsidR="00F45745" w:rsidTr="004A6DBB">
        <w:tc>
          <w:tcPr>
            <w:tcW w:w="652" w:type="dxa"/>
            <w:vMerge w:val="restart"/>
            <w:shd w:val="clear" w:color="auto" w:fill="D9D9D9" w:themeFill="background1" w:themeFillShade="D9"/>
            <w:vAlign w:val="center"/>
          </w:tcPr>
          <w:p w:rsidR="00F45745" w:rsidRDefault="00F45745" w:rsidP="004A6DBB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序号</w:t>
            </w:r>
          </w:p>
        </w:tc>
        <w:tc>
          <w:tcPr>
            <w:tcW w:w="3643" w:type="dxa"/>
            <w:gridSpan w:val="2"/>
            <w:shd w:val="clear" w:color="auto" w:fill="D9D9D9" w:themeFill="background1" w:themeFillShade="D9"/>
            <w:vAlign w:val="center"/>
          </w:tcPr>
          <w:p w:rsidR="00F45745" w:rsidRDefault="00F45745" w:rsidP="004A6DBB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CNAS</w:t>
            </w:r>
            <w:r>
              <w:rPr>
                <w:rFonts w:ascii="仿宋" w:eastAsia="仿宋" w:hAnsi="仿宋"/>
                <w:sz w:val="24"/>
                <w:szCs w:val="24"/>
              </w:rPr>
              <w:t>-SC1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6:</w:t>
            </w:r>
            <w:r>
              <w:rPr>
                <w:rFonts w:ascii="仿宋" w:eastAsia="仿宋" w:hAnsi="仿宋"/>
                <w:sz w:val="24"/>
                <w:szCs w:val="24"/>
              </w:rPr>
              <w:t>20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17（修订前）</w:t>
            </w:r>
          </w:p>
        </w:tc>
        <w:tc>
          <w:tcPr>
            <w:tcW w:w="3754" w:type="dxa"/>
            <w:gridSpan w:val="2"/>
            <w:shd w:val="clear" w:color="auto" w:fill="D9D9D9" w:themeFill="background1" w:themeFillShade="D9"/>
            <w:vAlign w:val="center"/>
          </w:tcPr>
          <w:p w:rsidR="00F45745" w:rsidRDefault="00F45745" w:rsidP="004A6DBB">
            <w:pPr>
              <w:jc w:val="center"/>
              <w:rPr>
                <w:rFonts w:ascii="仿宋" w:eastAsia="仿宋" w:hAnsi="仿宋"/>
                <w:sz w:val="24"/>
              </w:rPr>
            </w:pPr>
            <w:r w:rsidRPr="00346F18">
              <w:rPr>
                <w:rFonts w:ascii="仿宋" w:eastAsia="仿宋" w:hAnsi="仿宋"/>
                <w:sz w:val="24"/>
                <w:szCs w:val="24"/>
              </w:rPr>
              <w:t>CNAS-SC1</w:t>
            </w:r>
            <w:r w:rsidRPr="00346F18">
              <w:rPr>
                <w:rFonts w:ascii="仿宋" w:eastAsia="仿宋" w:hAnsi="仿宋" w:hint="eastAsia"/>
                <w:sz w:val="24"/>
                <w:szCs w:val="24"/>
              </w:rPr>
              <w:t>60</w:t>
            </w:r>
            <w:r w:rsidRPr="00346F18">
              <w:rPr>
                <w:rFonts w:ascii="仿宋" w:eastAsia="仿宋" w:hAnsi="仿宋"/>
                <w:sz w:val="24"/>
                <w:szCs w:val="24"/>
              </w:rPr>
              <w:t>:202</w:t>
            </w:r>
            <w:r w:rsidRPr="00346F18">
              <w:rPr>
                <w:rFonts w:ascii="仿宋" w:eastAsia="仿宋" w:hAnsi="仿宋" w:hint="eastAsia"/>
                <w:sz w:val="24"/>
                <w:szCs w:val="24"/>
              </w:rPr>
              <w:t>3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（修订后）</w:t>
            </w:r>
          </w:p>
        </w:tc>
        <w:tc>
          <w:tcPr>
            <w:tcW w:w="1267" w:type="dxa"/>
            <w:vMerge w:val="restart"/>
            <w:shd w:val="clear" w:color="auto" w:fill="D9D9D9" w:themeFill="background1" w:themeFillShade="D9"/>
            <w:vAlign w:val="center"/>
          </w:tcPr>
          <w:p w:rsidR="00F45745" w:rsidRDefault="00F45745" w:rsidP="004A6DBB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备注</w:t>
            </w:r>
          </w:p>
        </w:tc>
      </w:tr>
      <w:tr w:rsidR="00F45745" w:rsidTr="004A6DBB">
        <w:tc>
          <w:tcPr>
            <w:tcW w:w="652" w:type="dxa"/>
            <w:vMerge/>
            <w:shd w:val="clear" w:color="auto" w:fill="D9D9D9" w:themeFill="background1" w:themeFillShade="D9"/>
            <w:vAlign w:val="center"/>
          </w:tcPr>
          <w:p w:rsidR="00F45745" w:rsidRDefault="00F45745" w:rsidP="004A6DBB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76" w:type="dxa"/>
            <w:shd w:val="clear" w:color="auto" w:fill="D9D9D9" w:themeFill="background1" w:themeFillShade="D9"/>
            <w:vAlign w:val="center"/>
          </w:tcPr>
          <w:p w:rsidR="00F45745" w:rsidRDefault="00F45745" w:rsidP="004A6DBB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条款号</w:t>
            </w:r>
          </w:p>
        </w:tc>
        <w:tc>
          <w:tcPr>
            <w:tcW w:w="2467" w:type="dxa"/>
            <w:shd w:val="clear" w:color="auto" w:fill="D9D9D9" w:themeFill="background1" w:themeFillShade="D9"/>
            <w:vAlign w:val="center"/>
          </w:tcPr>
          <w:p w:rsidR="00F45745" w:rsidRDefault="00F45745" w:rsidP="004A6DBB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内容</w:t>
            </w:r>
          </w:p>
        </w:tc>
        <w:tc>
          <w:tcPr>
            <w:tcW w:w="1176" w:type="dxa"/>
            <w:shd w:val="clear" w:color="auto" w:fill="D9D9D9" w:themeFill="background1" w:themeFillShade="D9"/>
            <w:vAlign w:val="center"/>
          </w:tcPr>
          <w:p w:rsidR="00F45745" w:rsidRDefault="00F45745" w:rsidP="004A6DBB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条款号</w:t>
            </w:r>
          </w:p>
        </w:tc>
        <w:tc>
          <w:tcPr>
            <w:tcW w:w="2578" w:type="dxa"/>
            <w:shd w:val="clear" w:color="auto" w:fill="D9D9D9" w:themeFill="background1" w:themeFillShade="D9"/>
            <w:vAlign w:val="center"/>
          </w:tcPr>
          <w:p w:rsidR="00F45745" w:rsidRDefault="00F45745" w:rsidP="004A6DBB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内容</w:t>
            </w:r>
          </w:p>
        </w:tc>
        <w:tc>
          <w:tcPr>
            <w:tcW w:w="1267" w:type="dxa"/>
            <w:vMerge/>
            <w:shd w:val="clear" w:color="auto" w:fill="D9D9D9" w:themeFill="background1" w:themeFillShade="D9"/>
          </w:tcPr>
          <w:p w:rsidR="00F45745" w:rsidRDefault="00F45745" w:rsidP="004A6DBB">
            <w:pPr>
              <w:rPr>
                <w:rFonts w:ascii="仿宋" w:eastAsia="仿宋" w:hAnsi="仿宋"/>
                <w:sz w:val="24"/>
              </w:rPr>
            </w:pPr>
          </w:p>
        </w:tc>
      </w:tr>
      <w:tr w:rsidR="00F45745" w:rsidTr="004A6DBB">
        <w:tc>
          <w:tcPr>
            <w:tcW w:w="652" w:type="dxa"/>
            <w:vAlign w:val="center"/>
          </w:tcPr>
          <w:p w:rsidR="00F45745" w:rsidRDefault="00F45745" w:rsidP="004A6DBB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176" w:type="dxa"/>
            <w:vAlign w:val="center"/>
          </w:tcPr>
          <w:p w:rsidR="00F45745" w:rsidRDefault="00F45745" w:rsidP="004A6DBB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前言</w:t>
            </w:r>
          </w:p>
        </w:tc>
        <w:tc>
          <w:tcPr>
            <w:tcW w:w="2467" w:type="dxa"/>
            <w:vAlign w:val="center"/>
          </w:tcPr>
          <w:p w:rsidR="00F45745" w:rsidRDefault="00F45745" w:rsidP="004A6DBB">
            <w:pPr>
              <w:jc w:val="left"/>
              <w:rPr>
                <w:rFonts w:ascii="仿宋" w:eastAsia="仿宋" w:hAnsi="仿宋"/>
                <w:strike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本文件代替了</w:t>
            </w:r>
            <w:r>
              <w:rPr>
                <w:rFonts w:ascii="仿宋" w:eastAsia="仿宋" w:hAnsi="仿宋" w:hint="eastAsia"/>
                <w:strike/>
                <w:sz w:val="24"/>
                <w:szCs w:val="24"/>
              </w:rPr>
              <w:t>CNAS-SC16:2014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</w:tc>
        <w:tc>
          <w:tcPr>
            <w:tcW w:w="1176" w:type="dxa"/>
            <w:vAlign w:val="center"/>
          </w:tcPr>
          <w:p w:rsidR="00F45745" w:rsidRDefault="00F45745" w:rsidP="004A6DBB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前言</w:t>
            </w:r>
          </w:p>
        </w:tc>
        <w:tc>
          <w:tcPr>
            <w:tcW w:w="2578" w:type="dxa"/>
            <w:vAlign w:val="center"/>
          </w:tcPr>
          <w:p w:rsidR="00F45745" w:rsidRDefault="00F45745" w:rsidP="004A6DBB">
            <w:pPr>
              <w:autoSpaceDE w:val="0"/>
              <w:autoSpaceDN w:val="0"/>
              <w:adjustRightInd w:val="0"/>
              <w:snapToGrid w:val="0"/>
              <w:spacing w:line="300" w:lineRule="auto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本文件代替了</w:t>
            </w:r>
            <w:r>
              <w:rPr>
                <w:rFonts w:ascii="仿宋" w:eastAsia="仿宋" w:hAnsi="仿宋" w:hint="eastAsia"/>
                <w:sz w:val="24"/>
                <w:szCs w:val="24"/>
                <w:u w:val="single"/>
              </w:rPr>
              <w:t>CNAS-SC16:2017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</w:tc>
        <w:tc>
          <w:tcPr>
            <w:tcW w:w="1267" w:type="dxa"/>
            <w:vAlign w:val="center"/>
          </w:tcPr>
          <w:p w:rsidR="00F45745" w:rsidRDefault="00F45745" w:rsidP="004A6DBB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更新代替文件名称</w:t>
            </w:r>
          </w:p>
        </w:tc>
      </w:tr>
      <w:tr w:rsidR="00F45745" w:rsidTr="004A6DBB">
        <w:tc>
          <w:tcPr>
            <w:tcW w:w="652" w:type="dxa"/>
            <w:vAlign w:val="center"/>
          </w:tcPr>
          <w:p w:rsidR="00F45745" w:rsidRDefault="00F45745" w:rsidP="004A6DBB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1176" w:type="dxa"/>
          </w:tcPr>
          <w:p w:rsidR="00F45745" w:rsidRDefault="00F45745" w:rsidP="004A6DBB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规范性引用文件</w:t>
            </w:r>
          </w:p>
        </w:tc>
        <w:tc>
          <w:tcPr>
            <w:tcW w:w="2467" w:type="dxa"/>
            <w:vAlign w:val="center"/>
          </w:tcPr>
          <w:p w:rsidR="00F45745" w:rsidRDefault="00F45745" w:rsidP="004A6DBB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CNAS-CC14《计算机辅助审核技术在获得认可的管理体系认证中的使用》</w:t>
            </w:r>
          </w:p>
        </w:tc>
        <w:tc>
          <w:tcPr>
            <w:tcW w:w="1176" w:type="dxa"/>
          </w:tcPr>
          <w:p w:rsidR="00F45745" w:rsidRDefault="00F45745" w:rsidP="004A6DBB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规范性引用文件</w:t>
            </w:r>
          </w:p>
        </w:tc>
        <w:tc>
          <w:tcPr>
            <w:tcW w:w="2578" w:type="dxa"/>
          </w:tcPr>
          <w:p w:rsidR="00F45745" w:rsidRDefault="00F45745" w:rsidP="004A6DBB">
            <w:pPr>
              <w:autoSpaceDE w:val="0"/>
              <w:autoSpaceDN w:val="0"/>
              <w:spacing w:line="300" w:lineRule="auto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  <w:u w:val="single"/>
              </w:rPr>
              <w:t>CNAS-CC14《信息和通信技术（ICT）在审核中应用》</w:t>
            </w:r>
          </w:p>
        </w:tc>
        <w:tc>
          <w:tcPr>
            <w:tcW w:w="1267" w:type="dxa"/>
            <w:vAlign w:val="center"/>
          </w:tcPr>
          <w:p w:rsidR="00F45745" w:rsidRDefault="00F45745" w:rsidP="004A6DBB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更新代替引用文件名称</w:t>
            </w:r>
          </w:p>
        </w:tc>
      </w:tr>
      <w:tr w:rsidR="00F45745" w:rsidTr="004A6DBB">
        <w:tc>
          <w:tcPr>
            <w:tcW w:w="652" w:type="dxa"/>
            <w:vAlign w:val="center"/>
          </w:tcPr>
          <w:p w:rsidR="00F45745" w:rsidRDefault="00F45745" w:rsidP="004A6DBB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</w:t>
            </w:r>
          </w:p>
        </w:tc>
        <w:tc>
          <w:tcPr>
            <w:tcW w:w="1176" w:type="dxa"/>
          </w:tcPr>
          <w:p w:rsidR="00F45745" w:rsidRDefault="00F45745" w:rsidP="004A6DBB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R1.2.2.1</w:t>
            </w:r>
          </w:p>
        </w:tc>
        <w:tc>
          <w:tcPr>
            <w:tcW w:w="2467" w:type="dxa"/>
            <w:vAlign w:val="center"/>
          </w:tcPr>
          <w:p w:rsidR="00F45745" w:rsidRDefault="00F45745" w:rsidP="004A6DBB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1.食品加工(C) </w:t>
            </w:r>
          </w:p>
          <w:p w:rsidR="00F45745" w:rsidRDefault="00F45745" w:rsidP="004A6DBB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2.餐饮业(E) </w:t>
            </w:r>
          </w:p>
          <w:p w:rsidR="00F45745" w:rsidRDefault="00F45745" w:rsidP="004A6DBB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3.零售, 运输和贮藏(F+G)</w:t>
            </w:r>
          </w:p>
        </w:tc>
        <w:tc>
          <w:tcPr>
            <w:tcW w:w="1176" w:type="dxa"/>
          </w:tcPr>
          <w:p w:rsidR="00F45745" w:rsidRDefault="00F45745" w:rsidP="004A6DBB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R1.2.2.1</w:t>
            </w:r>
          </w:p>
        </w:tc>
        <w:tc>
          <w:tcPr>
            <w:tcW w:w="2578" w:type="dxa"/>
          </w:tcPr>
          <w:p w:rsidR="00F45745" w:rsidRDefault="00F45745" w:rsidP="004A6DBB">
            <w:pPr>
              <w:jc w:val="left"/>
              <w:rPr>
                <w:rFonts w:ascii="仿宋" w:eastAsia="仿宋" w:hAnsi="仿宋"/>
                <w:sz w:val="24"/>
                <w:u w:val="single"/>
              </w:rPr>
            </w:pPr>
            <w:r>
              <w:rPr>
                <w:rFonts w:ascii="仿宋" w:eastAsia="仿宋" w:hAnsi="仿宋" w:hint="eastAsia"/>
                <w:sz w:val="24"/>
                <w:szCs w:val="24"/>
                <w:u w:val="single"/>
              </w:rPr>
              <w:t>1.为人和动物加工的食品(C)</w:t>
            </w:r>
          </w:p>
          <w:p w:rsidR="00F45745" w:rsidRDefault="00F45745" w:rsidP="004A6DBB">
            <w:pPr>
              <w:jc w:val="left"/>
              <w:rPr>
                <w:rFonts w:ascii="仿宋" w:eastAsia="仿宋" w:hAnsi="仿宋"/>
                <w:sz w:val="24"/>
                <w:u w:val="single"/>
              </w:rPr>
            </w:pPr>
            <w:r>
              <w:rPr>
                <w:rFonts w:ascii="仿宋" w:eastAsia="仿宋" w:hAnsi="仿宋" w:hint="eastAsia"/>
                <w:sz w:val="24"/>
                <w:szCs w:val="24"/>
                <w:u w:val="single"/>
              </w:rPr>
              <w:t>2.餐饮/食品服务(E)</w:t>
            </w:r>
          </w:p>
          <w:p w:rsidR="00F45745" w:rsidRDefault="00F45745" w:rsidP="004A6DBB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  <w:u w:val="single"/>
              </w:rPr>
              <w:t>3.零售、运输和贮藏(F+G)</w:t>
            </w:r>
          </w:p>
        </w:tc>
        <w:tc>
          <w:tcPr>
            <w:tcW w:w="1267" w:type="dxa"/>
            <w:vAlign w:val="center"/>
          </w:tcPr>
          <w:p w:rsidR="00F45745" w:rsidRDefault="00F45745" w:rsidP="004A6DBB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根据CC</w:t>
            </w:r>
            <w:r>
              <w:rPr>
                <w:rFonts w:ascii="仿宋" w:eastAsia="仿宋" w:hAnsi="仿宋"/>
                <w:sz w:val="24"/>
                <w:szCs w:val="24"/>
              </w:rPr>
              <w:t>180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更新食品链分类</w:t>
            </w:r>
          </w:p>
        </w:tc>
      </w:tr>
      <w:tr w:rsidR="00F45745" w:rsidTr="004A6DBB">
        <w:tc>
          <w:tcPr>
            <w:tcW w:w="652" w:type="dxa"/>
            <w:vAlign w:val="center"/>
          </w:tcPr>
          <w:p w:rsidR="00F45745" w:rsidRDefault="00F45745" w:rsidP="004A6DBB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4</w:t>
            </w:r>
          </w:p>
        </w:tc>
        <w:tc>
          <w:tcPr>
            <w:tcW w:w="1176" w:type="dxa"/>
            <w:vAlign w:val="center"/>
          </w:tcPr>
          <w:p w:rsidR="00F45745" w:rsidRDefault="00F45745" w:rsidP="004A6DBB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C3.1</w:t>
            </w:r>
          </w:p>
        </w:tc>
        <w:tc>
          <w:tcPr>
            <w:tcW w:w="2467" w:type="dxa"/>
            <w:vAlign w:val="center"/>
          </w:tcPr>
          <w:p w:rsidR="00F45745" w:rsidRDefault="00F45745" w:rsidP="004A6DBB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a）取得</w:t>
            </w:r>
            <w:r>
              <w:rPr>
                <w:rFonts w:ascii="仿宋" w:eastAsia="仿宋" w:hAnsi="仿宋" w:hint="eastAsia"/>
                <w:strike/>
                <w:sz w:val="24"/>
                <w:szCs w:val="24"/>
              </w:rPr>
              <w:t>国家工商行政管理部门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或有关机构注册登记的法人资格（或其组成部分）</w:t>
            </w:r>
          </w:p>
        </w:tc>
        <w:tc>
          <w:tcPr>
            <w:tcW w:w="1176" w:type="dxa"/>
            <w:vAlign w:val="center"/>
          </w:tcPr>
          <w:p w:rsidR="00F45745" w:rsidRDefault="00F45745" w:rsidP="004A6DBB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C3.1</w:t>
            </w:r>
          </w:p>
        </w:tc>
        <w:tc>
          <w:tcPr>
            <w:tcW w:w="2578" w:type="dxa"/>
          </w:tcPr>
          <w:p w:rsidR="00F45745" w:rsidRDefault="00F45745" w:rsidP="004A6DBB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a）取得</w:t>
            </w:r>
            <w:r>
              <w:rPr>
                <w:rFonts w:ascii="仿宋" w:eastAsia="仿宋" w:hAnsi="仿宋" w:hint="eastAsia"/>
                <w:sz w:val="24"/>
                <w:szCs w:val="24"/>
                <w:u w:val="single"/>
              </w:rPr>
              <w:t>市场监督管理部门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或有关机构注册登记的法人资格（或其组成部分）</w:t>
            </w:r>
          </w:p>
        </w:tc>
        <w:tc>
          <w:tcPr>
            <w:tcW w:w="1267" w:type="dxa"/>
            <w:vAlign w:val="center"/>
          </w:tcPr>
          <w:p w:rsidR="00F45745" w:rsidRDefault="00F45745" w:rsidP="004A6DBB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修订</w:t>
            </w:r>
          </w:p>
        </w:tc>
      </w:tr>
      <w:tr w:rsidR="00F45745" w:rsidTr="004A6DBB">
        <w:tc>
          <w:tcPr>
            <w:tcW w:w="652" w:type="dxa"/>
            <w:vAlign w:val="center"/>
          </w:tcPr>
          <w:p w:rsidR="00F45745" w:rsidRDefault="00F45745" w:rsidP="004A6DBB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5</w:t>
            </w:r>
          </w:p>
        </w:tc>
        <w:tc>
          <w:tcPr>
            <w:tcW w:w="1176" w:type="dxa"/>
            <w:vAlign w:val="center"/>
          </w:tcPr>
          <w:p w:rsidR="00F45745" w:rsidRDefault="00F45745" w:rsidP="004A6DBB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C5</w:t>
            </w:r>
          </w:p>
        </w:tc>
        <w:tc>
          <w:tcPr>
            <w:tcW w:w="2467" w:type="dxa"/>
            <w:vAlign w:val="center"/>
          </w:tcPr>
          <w:p w:rsidR="00F45745" w:rsidRDefault="00F45745" w:rsidP="004A6DBB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认证机构在</w:t>
            </w:r>
            <w:r>
              <w:rPr>
                <w:rFonts w:ascii="仿宋" w:eastAsia="仿宋" w:hAnsi="仿宋" w:hint="eastAsia"/>
                <w:strike/>
                <w:sz w:val="24"/>
                <w:szCs w:val="24"/>
              </w:rPr>
              <w:t>使用计算机辅助审核技术（CAAT）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时，应满足CNAS-CC14的要求。</w:t>
            </w:r>
          </w:p>
        </w:tc>
        <w:tc>
          <w:tcPr>
            <w:tcW w:w="1176" w:type="dxa"/>
            <w:vAlign w:val="center"/>
          </w:tcPr>
          <w:p w:rsidR="00F45745" w:rsidRDefault="00F45745" w:rsidP="004A6DBB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C5</w:t>
            </w:r>
          </w:p>
        </w:tc>
        <w:tc>
          <w:tcPr>
            <w:tcW w:w="2578" w:type="dxa"/>
          </w:tcPr>
          <w:p w:rsidR="00F45745" w:rsidRDefault="00F45745" w:rsidP="004A6DBB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认证机构在</w:t>
            </w:r>
            <w:r>
              <w:rPr>
                <w:rFonts w:ascii="仿宋" w:eastAsia="仿宋" w:hAnsi="仿宋" w:hint="eastAsia"/>
                <w:sz w:val="24"/>
                <w:szCs w:val="24"/>
                <w:u w:val="single"/>
              </w:rPr>
              <w:t>信息和通信技术（ICT）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时，应满足CNAS-CC14的要求。</w:t>
            </w:r>
          </w:p>
        </w:tc>
        <w:tc>
          <w:tcPr>
            <w:tcW w:w="1267" w:type="dxa"/>
            <w:vAlign w:val="center"/>
          </w:tcPr>
          <w:p w:rsidR="00F45745" w:rsidRDefault="00F45745" w:rsidP="004A6DBB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修订</w:t>
            </w:r>
          </w:p>
        </w:tc>
      </w:tr>
      <w:tr w:rsidR="00F45745" w:rsidTr="004A6DBB">
        <w:tc>
          <w:tcPr>
            <w:tcW w:w="652" w:type="dxa"/>
            <w:vAlign w:val="center"/>
          </w:tcPr>
          <w:p w:rsidR="00F45745" w:rsidRDefault="00F45745" w:rsidP="004A6DBB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6</w:t>
            </w:r>
          </w:p>
        </w:tc>
        <w:tc>
          <w:tcPr>
            <w:tcW w:w="1176" w:type="dxa"/>
            <w:vAlign w:val="center"/>
          </w:tcPr>
          <w:p w:rsidR="00F45745" w:rsidRDefault="00F45745" w:rsidP="004A6DBB">
            <w:pPr>
              <w:keepLines/>
              <w:adjustRightInd w:val="0"/>
              <w:snapToGrid w:val="0"/>
              <w:spacing w:line="300" w:lineRule="auto"/>
              <w:jc w:val="center"/>
              <w:textAlignment w:val="baseline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G1</w:t>
            </w:r>
          </w:p>
        </w:tc>
        <w:tc>
          <w:tcPr>
            <w:tcW w:w="2467" w:type="dxa"/>
            <w:vAlign w:val="center"/>
          </w:tcPr>
          <w:p w:rsidR="00F45745" w:rsidRDefault="00F45745" w:rsidP="004A6DBB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表1 GMP认证机构认证业务范围分类表</w:t>
            </w:r>
          </w:p>
        </w:tc>
        <w:tc>
          <w:tcPr>
            <w:tcW w:w="1176" w:type="dxa"/>
            <w:vAlign w:val="center"/>
          </w:tcPr>
          <w:p w:rsidR="00F45745" w:rsidRDefault="00F45745" w:rsidP="004A6DBB">
            <w:pPr>
              <w:keepLines/>
              <w:adjustRightInd w:val="0"/>
              <w:snapToGrid w:val="0"/>
              <w:spacing w:line="300" w:lineRule="auto"/>
              <w:jc w:val="center"/>
              <w:textAlignment w:val="baseline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G1</w:t>
            </w:r>
          </w:p>
        </w:tc>
        <w:tc>
          <w:tcPr>
            <w:tcW w:w="2578" w:type="dxa"/>
            <w:vAlign w:val="center"/>
          </w:tcPr>
          <w:p w:rsidR="00F45745" w:rsidRDefault="00F45745" w:rsidP="004A6DBB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表1 GMP认证机构认证业务范围分类表</w:t>
            </w:r>
          </w:p>
        </w:tc>
        <w:tc>
          <w:tcPr>
            <w:tcW w:w="1267" w:type="dxa"/>
            <w:vAlign w:val="center"/>
          </w:tcPr>
          <w:p w:rsidR="00F45745" w:rsidRDefault="00F45745" w:rsidP="004A6DBB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根据CC</w:t>
            </w:r>
            <w:r>
              <w:rPr>
                <w:rFonts w:ascii="仿宋" w:eastAsia="仿宋" w:hAnsi="仿宋"/>
                <w:sz w:val="24"/>
                <w:szCs w:val="24"/>
              </w:rPr>
              <w:t>180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更新食品链分类</w:t>
            </w:r>
          </w:p>
        </w:tc>
      </w:tr>
    </w:tbl>
    <w:p w:rsidR="00F45745" w:rsidRPr="00F45745" w:rsidRDefault="00F45745" w:rsidP="00231B6F">
      <w:pPr>
        <w:jc w:val="center"/>
        <w:rPr>
          <w:rFonts w:hint="eastAsia"/>
          <w:b/>
          <w:bCs/>
          <w:sz w:val="28"/>
          <w:szCs w:val="28"/>
        </w:rPr>
      </w:pPr>
    </w:p>
    <w:p w:rsidR="00231B6F" w:rsidRPr="00231B6F" w:rsidRDefault="00231B6F" w:rsidP="00231B6F">
      <w:pPr>
        <w:adjustRightInd w:val="0"/>
        <w:snapToGrid w:val="0"/>
        <w:spacing w:line="360" w:lineRule="auto"/>
        <w:ind w:firstLineChars="200" w:firstLine="480"/>
        <w:jc w:val="right"/>
        <w:rPr>
          <w:rFonts w:ascii="Arial" w:hAnsi="Arial" w:cs="Arial"/>
          <w:color w:val="000000"/>
          <w:kern w:val="0"/>
          <w:sz w:val="24"/>
          <w:szCs w:val="24"/>
        </w:rPr>
      </w:pPr>
    </w:p>
    <w:sectPr w:rsidR="00231B6F" w:rsidRPr="00231B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D6B" w:rsidRDefault="00750D6B" w:rsidP="00755384">
      <w:r>
        <w:separator/>
      </w:r>
    </w:p>
  </w:endnote>
  <w:endnote w:type="continuationSeparator" w:id="0">
    <w:p w:rsidR="00750D6B" w:rsidRDefault="00750D6B" w:rsidP="00755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D6B" w:rsidRDefault="00750D6B" w:rsidP="00755384">
      <w:r>
        <w:separator/>
      </w:r>
    </w:p>
  </w:footnote>
  <w:footnote w:type="continuationSeparator" w:id="0">
    <w:p w:rsidR="00750D6B" w:rsidRDefault="00750D6B" w:rsidP="007553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A35"/>
    <w:rsid w:val="001B536D"/>
    <w:rsid w:val="00231B6F"/>
    <w:rsid w:val="00244E79"/>
    <w:rsid w:val="004B1140"/>
    <w:rsid w:val="00750D6B"/>
    <w:rsid w:val="00753E0B"/>
    <w:rsid w:val="00755384"/>
    <w:rsid w:val="008A4DED"/>
    <w:rsid w:val="008E0FA1"/>
    <w:rsid w:val="00AD373E"/>
    <w:rsid w:val="00C80F1D"/>
    <w:rsid w:val="00DE7A35"/>
    <w:rsid w:val="00F45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553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5538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553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55384"/>
    <w:rPr>
      <w:sz w:val="18"/>
      <w:szCs w:val="18"/>
    </w:rPr>
  </w:style>
  <w:style w:type="table" w:styleId="a5">
    <w:name w:val="Table Grid"/>
    <w:basedOn w:val="a1"/>
    <w:uiPriority w:val="39"/>
    <w:qFormat/>
    <w:rsid w:val="00231B6F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553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5538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553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55384"/>
    <w:rPr>
      <w:sz w:val="18"/>
      <w:szCs w:val="18"/>
    </w:rPr>
  </w:style>
  <w:style w:type="table" w:styleId="a5">
    <w:name w:val="Table Grid"/>
    <w:basedOn w:val="a1"/>
    <w:uiPriority w:val="39"/>
    <w:qFormat/>
    <w:rsid w:val="00231B6F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177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任青钺</dc:creator>
  <cp:keywords/>
  <dc:description/>
  <cp:lastModifiedBy>任青钺</cp:lastModifiedBy>
  <cp:revision>15</cp:revision>
  <dcterms:created xsi:type="dcterms:W3CDTF">2023-01-13T06:39:00Z</dcterms:created>
  <dcterms:modified xsi:type="dcterms:W3CDTF">2023-01-16T02:04:00Z</dcterms:modified>
</cp:coreProperties>
</file>