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B8" w:rsidRDefault="004D06B8" w:rsidP="004D06B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Arial" w:cs="Arial" w:hint="eastAsia"/>
          <w:b/>
          <w:kern w:val="0"/>
          <w:sz w:val="32"/>
          <w:szCs w:val="32"/>
        </w:rPr>
        <w:t>CNAS-CL01-A00</w:t>
      </w:r>
      <w:r w:rsidR="00132744">
        <w:rPr>
          <w:rFonts w:ascii="黑体" w:eastAsia="黑体" w:hAnsi="Arial" w:cs="Arial" w:hint="eastAsia"/>
          <w:b/>
          <w:kern w:val="0"/>
          <w:sz w:val="32"/>
          <w:szCs w:val="32"/>
        </w:rPr>
        <w:t>2</w:t>
      </w:r>
      <w:r>
        <w:rPr>
          <w:rFonts w:ascii="黑体" w:eastAsia="黑体" w:hint="eastAsia"/>
          <w:b/>
          <w:sz w:val="32"/>
          <w:szCs w:val="32"/>
        </w:rPr>
        <w:t>征求意见稿修订说明</w:t>
      </w:r>
    </w:p>
    <w:p w:rsidR="00E739A3" w:rsidRDefault="00E739A3" w:rsidP="004D06B8">
      <w:pPr>
        <w:jc w:val="center"/>
        <w:rPr>
          <w:rFonts w:ascii="黑体" w:eastAsia="黑体"/>
          <w:b/>
          <w:sz w:val="32"/>
          <w:szCs w:val="32"/>
        </w:rPr>
      </w:pPr>
    </w:p>
    <w:p w:rsidR="00525760" w:rsidRPr="00525760" w:rsidRDefault="00525760" w:rsidP="00A977E3">
      <w:pPr>
        <w:tabs>
          <w:tab w:val="right" w:pos="8312"/>
        </w:tabs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D95D5D">
        <w:rPr>
          <w:rFonts w:ascii="Arial" w:hAnsi="Arial" w:cs="Arial"/>
          <w:kern w:val="0"/>
          <w:sz w:val="24"/>
        </w:rPr>
        <w:t>CNAS-CL</w:t>
      </w:r>
      <w:r w:rsidRPr="00D95D5D">
        <w:rPr>
          <w:rFonts w:ascii="Arial" w:hAnsi="Arial" w:cs="Arial" w:hint="eastAsia"/>
          <w:kern w:val="0"/>
          <w:sz w:val="24"/>
        </w:rPr>
        <w:t>0</w:t>
      </w:r>
      <w:bookmarkStart w:id="0" w:name="_GoBack"/>
      <w:bookmarkEnd w:id="0"/>
      <w:r w:rsidRPr="00D95D5D"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-A002:2018</w:t>
      </w:r>
      <w:r w:rsidRPr="00A977E3">
        <w:rPr>
          <w:rFonts w:ascii="Arial" w:hAnsi="Arial" w:cs="Arial" w:hint="eastAsia"/>
          <w:kern w:val="0"/>
          <w:sz w:val="24"/>
        </w:rPr>
        <w:t>《</w:t>
      </w:r>
      <w:r w:rsidRPr="00D95D5D">
        <w:rPr>
          <w:rFonts w:ascii="Arial" w:hAnsi="Arial" w:cs="Arial" w:hint="eastAsia"/>
          <w:kern w:val="0"/>
          <w:sz w:val="24"/>
        </w:rPr>
        <w:t>检测和校准实验室能力认可准则在化学检测领域的应用说明</w:t>
      </w:r>
      <w:r w:rsidRPr="00A977E3">
        <w:rPr>
          <w:rFonts w:ascii="Arial" w:hAnsi="Arial" w:cs="Arial" w:hint="eastAsia"/>
          <w:kern w:val="0"/>
          <w:sz w:val="24"/>
        </w:rPr>
        <w:t>》于</w:t>
      </w:r>
      <w:r w:rsidRPr="00A977E3">
        <w:rPr>
          <w:rFonts w:ascii="Arial" w:hAnsi="Arial" w:cs="Arial" w:hint="eastAsia"/>
          <w:kern w:val="0"/>
          <w:sz w:val="24"/>
        </w:rPr>
        <w:t>2018</w:t>
      </w:r>
      <w:r w:rsidRPr="00A977E3">
        <w:rPr>
          <w:rFonts w:ascii="Arial" w:hAnsi="Arial" w:cs="Arial" w:hint="eastAsia"/>
          <w:kern w:val="0"/>
          <w:sz w:val="24"/>
        </w:rPr>
        <w:t>年</w:t>
      </w:r>
      <w:r w:rsidRPr="00A977E3">
        <w:rPr>
          <w:rFonts w:ascii="Arial" w:hAnsi="Arial" w:cs="Arial" w:hint="eastAsia"/>
          <w:kern w:val="0"/>
          <w:sz w:val="24"/>
        </w:rPr>
        <w:t>3</w:t>
      </w:r>
      <w:r w:rsidRPr="00A977E3">
        <w:rPr>
          <w:rFonts w:ascii="Arial" w:hAnsi="Arial" w:cs="Arial" w:hint="eastAsia"/>
          <w:kern w:val="0"/>
          <w:sz w:val="24"/>
        </w:rPr>
        <w:t>月</w:t>
      </w:r>
      <w:r w:rsidRPr="00A977E3">
        <w:rPr>
          <w:rFonts w:ascii="Arial" w:hAnsi="Arial" w:cs="Arial" w:hint="eastAsia"/>
          <w:kern w:val="0"/>
          <w:sz w:val="24"/>
        </w:rPr>
        <w:t>1</w:t>
      </w:r>
      <w:r w:rsidRPr="00A977E3">
        <w:rPr>
          <w:rFonts w:ascii="Arial" w:hAnsi="Arial" w:cs="Arial" w:hint="eastAsia"/>
          <w:kern w:val="0"/>
          <w:sz w:val="24"/>
        </w:rPr>
        <w:t>日发布，</w:t>
      </w:r>
      <w:r w:rsidRPr="00A977E3">
        <w:rPr>
          <w:rFonts w:ascii="Arial" w:hAnsi="Arial" w:cs="Arial" w:hint="eastAsia"/>
          <w:kern w:val="0"/>
          <w:sz w:val="24"/>
        </w:rPr>
        <w:t>2018</w:t>
      </w:r>
      <w:r w:rsidRPr="00A977E3">
        <w:rPr>
          <w:rFonts w:ascii="Arial" w:hAnsi="Arial" w:cs="Arial" w:hint="eastAsia"/>
          <w:kern w:val="0"/>
          <w:sz w:val="24"/>
        </w:rPr>
        <w:t>年</w:t>
      </w:r>
      <w:r w:rsidRPr="00A977E3">
        <w:rPr>
          <w:rFonts w:ascii="Arial" w:hAnsi="Arial" w:cs="Arial" w:hint="eastAsia"/>
          <w:kern w:val="0"/>
          <w:sz w:val="24"/>
        </w:rPr>
        <w:t>9</w:t>
      </w:r>
      <w:r w:rsidRPr="00A977E3">
        <w:rPr>
          <w:rFonts w:ascii="Arial" w:hAnsi="Arial" w:cs="Arial" w:hint="eastAsia"/>
          <w:kern w:val="0"/>
          <w:sz w:val="24"/>
        </w:rPr>
        <w:t>月</w:t>
      </w:r>
      <w:r w:rsidRPr="00A977E3">
        <w:rPr>
          <w:rFonts w:ascii="Arial" w:hAnsi="Arial" w:cs="Arial" w:hint="eastAsia"/>
          <w:kern w:val="0"/>
          <w:sz w:val="24"/>
        </w:rPr>
        <w:t>1</w:t>
      </w:r>
      <w:r w:rsidRPr="00A977E3">
        <w:rPr>
          <w:rFonts w:ascii="Arial" w:hAnsi="Arial" w:cs="Arial" w:hint="eastAsia"/>
          <w:kern w:val="0"/>
          <w:sz w:val="24"/>
        </w:rPr>
        <w:t>日实施。内容主要</w:t>
      </w:r>
      <w:r w:rsidRPr="00D95D5D">
        <w:rPr>
          <w:rFonts w:ascii="Arial" w:hAnsi="Arial" w:cs="Arial" w:hint="eastAsia"/>
          <w:kern w:val="0"/>
          <w:sz w:val="24"/>
        </w:rPr>
        <w:t>按照</w:t>
      </w:r>
      <w:r w:rsidRPr="00D95D5D">
        <w:rPr>
          <w:rFonts w:ascii="Arial" w:hAnsi="Arial" w:cs="Arial"/>
          <w:kern w:val="0"/>
          <w:sz w:val="24"/>
        </w:rPr>
        <w:t>CNAS-CL</w:t>
      </w:r>
      <w:r w:rsidRPr="00D95D5D">
        <w:rPr>
          <w:rFonts w:ascii="Arial" w:hAnsi="Arial" w:cs="Arial" w:hint="eastAsia"/>
          <w:kern w:val="0"/>
          <w:sz w:val="24"/>
        </w:rPr>
        <w:t>01:2018</w:t>
      </w:r>
      <w:r w:rsidRPr="00D95D5D">
        <w:rPr>
          <w:rFonts w:ascii="Arial" w:hAnsi="Arial" w:cs="Arial" w:hint="eastAsia"/>
          <w:kern w:val="0"/>
          <w:sz w:val="24"/>
        </w:rPr>
        <w:t>的内容，对条款编号进行了调整</w:t>
      </w:r>
      <w:r>
        <w:rPr>
          <w:rFonts w:ascii="Arial" w:hAnsi="Arial" w:cs="Arial" w:hint="eastAsia"/>
          <w:kern w:val="0"/>
          <w:sz w:val="24"/>
        </w:rPr>
        <w:t>，实质的内容变化不大。</w:t>
      </w:r>
    </w:p>
    <w:p w:rsidR="004D06B8" w:rsidRPr="00A977E3" w:rsidRDefault="00525760" w:rsidP="00A977E3">
      <w:pPr>
        <w:tabs>
          <w:tab w:val="right" w:pos="8312"/>
        </w:tabs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A977E3">
        <w:rPr>
          <w:rFonts w:ascii="Arial" w:hAnsi="Arial" w:cs="Arial" w:hint="eastAsia"/>
          <w:kern w:val="0"/>
          <w:sz w:val="24"/>
        </w:rPr>
        <w:t>本次修订</w:t>
      </w:r>
      <w:r w:rsidR="0021337B" w:rsidRPr="00A977E3">
        <w:rPr>
          <w:rFonts w:ascii="Arial" w:hAnsi="Arial" w:cs="Arial" w:hint="eastAsia"/>
          <w:kern w:val="0"/>
          <w:sz w:val="24"/>
        </w:rPr>
        <w:t>调整个别不适宜的条款</w:t>
      </w:r>
      <w:r w:rsidRPr="00A977E3">
        <w:rPr>
          <w:rFonts w:ascii="Arial" w:hAnsi="Arial" w:cs="Arial" w:hint="eastAsia"/>
          <w:kern w:val="0"/>
          <w:sz w:val="24"/>
        </w:rPr>
        <w:t>号</w:t>
      </w:r>
      <w:r w:rsidR="00A977E3">
        <w:rPr>
          <w:rFonts w:ascii="Arial" w:hAnsi="Arial" w:cs="Arial" w:hint="eastAsia"/>
          <w:kern w:val="0"/>
          <w:sz w:val="24"/>
        </w:rPr>
        <w:t>,</w:t>
      </w:r>
      <w:r w:rsidR="00A977E3">
        <w:rPr>
          <w:rFonts w:ascii="Arial" w:hAnsi="Arial" w:cs="Arial" w:hint="eastAsia"/>
          <w:kern w:val="0"/>
          <w:sz w:val="24"/>
        </w:rPr>
        <w:t>但</w:t>
      </w:r>
      <w:r w:rsidRPr="00A977E3">
        <w:rPr>
          <w:rFonts w:ascii="Arial" w:hAnsi="Arial" w:cs="Arial" w:hint="eastAsia"/>
          <w:kern w:val="0"/>
          <w:sz w:val="24"/>
        </w:rPr>
        <w:t>主要内容根据</w:t>
      </w:r>
      <w:r w:rsidR="00644869" w:rsidRPr="00A977E3">
        <w:rPr>
          <w:rFonts w:ascii="Arial" w:hAnsi="Arial" w:cs="Arial" w:hint="eastAsia"/>
          <w:kern w:val="0"/>
          <w:sz w:val="24"/>
        </w:rPr>
        <w:t>检测技术的新变化及</w:t>
      </w:r>
      <w:r w:rsidRPr="00A977E3">
        <w:rPr>
          <w:rFonts w:ascii="Arial" w:hAnsi="Arial" w:cs="Arial" w:hint="eastAsia"/>
          <w:kern w:val="0"/>
          <w:sz w:val="24"/>
        </w:rPr>
        <w:t>实验室体系运行的实际</w:t>
      </w:r>
      <w:r w:rsidR="00644869" w:rsidRPr="00A977E3">
        <w:rPr>
          <w:rFonts w:ascii="Arial" w:hAnsi="Arial" w:cs="Arial" w:hint="eastAsia"/>
          <w:kern w:val="0"/>
          <w:sz w:val="24"/>
        </w:rPr>
        <w:t>情况</w:t>
      </w:r>
      <w:r w:rsidRPr="00A977E3">
        <w:rPr>
          <w:rFonts w:ascii="Arial" w:hAnsi="Arial" w:cs="Arial" w:hint="eastAsia"/>
          <w:kern w:val="0"/>
          <w:sz w:val="24"/>
        </w:rPr>
        <w:t>进行了较大调整，并优化了的部分语句措辞</w:t>
      </w:r>
      <w:r w:rsidR="00644869" w:rsidRPr="00A977E3">
        <w:rPr>
          <w:rFonts w:ascii="Arial" w:hAnsi="Arial" w:cs="Arial" w:hint="eastAsia"/>
          <w:kern w:val="0"/>
          <w:sz w:val="24"/>
        </w:rPr>
        <w:t>，使之更加清晰易懂。</w:t>
      </w:r>
      <w:r w:rsidR="004D06B8" w:rsidRPr="00D95D5D">
        <w:rPr>
          <w:rFonts w:ascii="Arial" w:hAnsi="Arial" w:cs="Arial" w:hint="eastAsia"/>
          <w:kern w:val="0"/>
          <w:sz w:val="24"/>
        </w:rPr>
        <w:t>修订情况具体说明如下</w:t>
      </w:r>
      <w:r w:rsidR="000C1304" w:rsidRPr="00D95D5D">
        <w:rPr>
          <w:rFonts w:ascii="Arial" w:hAnsi="Arial" w:cs="Arial" w:hint="eastAsia"/>
          <w:kern w:val="0"/>
          <w:sz w:val="24"/>
        </w:rPr>
        <w:t>：</w:t>
      </w:r>
    </w:p>
    <w:p w:rsidR="00C24465" w:rsidRPr="00FE060F" w:rsidRDefault="002D503C" w:rsidP="008F4A47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 w:rsidRPr="00FE060F">
        <w:rPr>
          <w:sz w:val="24"/>
        </w:rPr>
        <w:t>1</w:t>
      </w:r>
      <w:r w:rsidR="00733AAF" w:rsidRPr="00FE060F">
        <w:rPr>
          <w:rFonts w:hint="eastAsia"/>
          <w:sz w:val="24"/>
        </w:rPr>
        <w:t>．</w:t>
      </w:r>
      <w:r w:rsidRPr="00FE060F">
        <w:rPr>
          <w:rFonts w:hint="eastAsia"/>
          <w:sz w:val="24"/>
        </w:rPr>
        <w:t>删除原</w:t>
      </w:r>
      <w:r w:rsidR="00644869" w:rsidRPr="00FE060F">
        <w:rPr>
          <w:rFonts w:hint="eastAsia"/>
          <w:sz w:val="24"/>
        </w:rPr>
        <w:t>6.2.6.2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6.4.3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6.4.10.1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7.4.1.3</w:t>
      </w:r>
      <w:r w:rsidR="00644869" w:rsidRPr="00FE060F">
        <w:rPr>
          <w:rFonts w:hint="eastAsia"/>
          <w:sz w:val="24"/>
        </w:rPr>
        <w:t>及</w:t>
      </w:r>
      <w:r w:rsidR="00644869" w:rsidRPr="00FE060F">
        <w:rPr>
          <w:rFonts w:hint="eastAsia"/>
          <w:sz w:val="24"/>
        </w:rPr>
        <w:t>7.7.2</w:t>
      </w:r>
      <w:r w:rsidRPr="00FE060F">
        <w:rPr>
          <w:rFonts w:hint="eastAsia"/>
          <w:sz w:val="24"/>
        </w:rPr>
        <w:t>条款</w:t>
      </w:r>
      <w:r w:rsidR="00D95D5D" w:rsidRPr="00FE060F">
        <w:rPr>
          <w:rFonts w:hint="eastAsia"/>
          <w:sz w:val="24"/>
        </w:rPr>
        <w:t>。</w:t>
      </w:r>
    </w:p>
    <w:p w:rsidR="00644869" w:rsidRPr="00FE060F" w:rsidRDefault="00C24465" w:rsidP="007668D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FE060F">
        <w:rPr>
          <w:rFonts w:hint="eastAsia"/>
          <w:sz w:val="24"/>
        </w:rPr>
        <w:t>说明：原</w:t>
      </w:r>
      <w:r w:rsidR="00644869" w:rsidRPr="00FE060F">
        <w:rPr>
          <w:rFonts w:hint="eastAsia"/>
          <w:sz w:val="24"/>
        </w:rPr>
        <w:t>6.2.6.2</w:t>
      </w:r>
      <w:r w:rsidRPr="00FE060F">
        <w:rPr>
          <w:rFonts w:hint="eastAsia"/>
          <w:sz w:val="24"/>
        </w:rPr>
        <w:t>条款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6.4.3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7.4.1.3</w:t>
      </w:r>
      <w:r w:rsidR="00644869" w:rsidRPr="00FE060F">
        <w:rPr>
          <w:rFonts w:hint="eastAsia"/>
          <w:sz w:val="24"/>
        </w:rPr>
        <w:t>、</w:t>
      </w:r>
      <w:r w:rsidR="00644869" w:rsidRPr="00FE060F">
        <w:rPr>
          <w:rFonts w:hint="eastAsia"/>
          <w:sz w:val="24"/>
        </w:rPr>
        <w:t>7.7.2</w:t>
      </w:r>
      <w:r w:rsidR="00644869" w:rsidRPr="00FE060F">
        <w:rPr>
          <w:rFonts w:hint="eastAsia"/>
          <w:sz w:val="24"/>
        </w:rPr>
        <w:t>等条款的内容</w:t>
      </w:r>
      <w:r w:rsidRPr="00FE060F">
        <w:rPr>
          <w:rFonts w:hint="eastAsia"/>
          <w:sz w:val="24"/>
        </w:rPr>
        <w:t>在</w:t>
      </w:r>
      <w:r w:rsidRPr="00FE060F">
        <w:rPr>
          <w:rFonts w:hint="eastAsia"/>
          <w:sz w:val="24"/>
        </w:rPr>
        <w:t xml:space="preserve">CNAS-CL01 </w:t>
      </w:r>
      <w:r w:rsidR="00644869" w:rsidRPr="00FE060F">
        <w:rPr>
          <w:rFonts w:hint="eastAsia"/>
          <w:sz w:val="24"/>
        </w:rPr>
        <w:t>：</w:t>
      </w:r>
      <w:r w:rsidR="00644869" w:rsidRPr="00FE060F">
        <w:rPr>
          <w:rFonts w:hint="eastAsia"/>
          <w:sz w:val="24"/>
        </w:rPr>
        <w:t>2018</w:t>
      </w:r>
      <w:r w:rsidR="00644869" w:rsidRPr="00FE060F">
        <w:rPr>
          <w:rFonts w:hint="eastAsia"/>
          <w:sz w:val="24"/>
        </w:rPr>
        <w:t>对应条款已</w:t>
      </w:r>
      <w:r w:rsidRPr="00FE060F">
        <w:rPr>
          <w:rFonts w:hint="eastAsia"/>
          <w:sz w:val="24"/>
        </w:rPr>
        <w:t>明</w:t>
      </w:r>
      <w:r w:rsidR="00E739A3">
        <w:rPr>
          <w:rFonts w:hint="eastAsia"/>
          <w:sz w:val="24"/>
        </w:rPr>
        <w:t>确</w:t>
      </w:r>
      <w:r w:rsidR="00644869" w:rsidRPr="00FE060F">
        <w:rPr>
          <w:rFonts w:hint="eastAsia"/>
          <w:sz w:val="24"/>
        </w:rPr>
        <w:t>，无需重复</w:t>
      </w:r>
      <w:r w:rsidRPr="00FE060F">
        <w:rPr>
          <w:rFonts w:hint="eastAsia"/>
          <w:sz w:val="24"/>
        </w:rPr>
        <w:t>。</w:t>
      </w:r>
      <w:r w:rsidR="00644869" w:rsidRPr="00FE060F">
        <w:rPr>
          <w:rFonts w:hint="eastAsia"/>
          <w:sz w:val="24"/>
        </w:rPr>
        <w:t>6.4.10.1</w:t>
      </w:r>
      <w:r w:rsidR="00644869" w:rsidRPr="00FE060F">
        <w:rPr>
          <w:rFonts w:hint="eastAsia"/>
          <w:sz w:val="24"/>
        </w:rPr>
        <w:t>条款优化措辞</w:t>
      </w:r>
      <w:proofErr w:type="gramStart"/>
      <w:r w:rsidR="00644869" w:rsidRPr="00FE060F">
        <w:rPr>
          <w:rFonts w:hint="eastAsia"/>
          <w:sz w:val="24"/>
        </w:rPr>
        <w:t>后内容</w:t>
      </w:r>
      <w:proofErr w:type="gramEnd"/>
      <w:r w:rsidR="00644869" w:rsidRPr="00FE060F">
        <w:rPr>
          <w:rFonts w:hint="eastAsia"/>
          <w:sz w:val="24"/>
        </w:rPr>
        <w:t>调整到</w:t>
      </w:r>
      <w:r w:rsidR="00644869" w:rsidRPr="00FE060F">
        <w:rPr>
          <w:rFonts w:hint="eastAsia"/>
          <w:sz w:val="24"/>
        </w:rPr>
        <w:t>7.</w:t>
      </w:r>
      <w:r w:rsidR="0093324B" w:rsidRPr="00FE060F">
        <w:rPr>
          <w:rFonts w:hint="eastAsia"/>
          <w:sz w:val="24"/>
        </w:rPr>
        <w:t>2.1.1</w:t>
      </w:r>
      <w:r w:rsidR="0093324B" w:rsidRPr="00FE060F">
        <w:rPr>
          <w:rFonts w:hint="eastAsia"/>
          <w:sz w:val="24"/>
        </w:rPr>
        <w:t>条款。</w:t>
      </w:r>
    </w:p>
    <w:p w:rsidR="004D06B8" w:rsidRPr="00FE060F" w:rsidRDefault="00C24465" w:rsidP="008F4A47">
      <w:pPr>
        <w:spacing w:line="360" w:lineRule="auto"/>
        <w:rPr>
          <w:sz w:val="24"/>
        </w:rPr>
      </w:pPr>
      <w:r w:rsidRPr="00FE060F">
        <w:rPr>
          <w:rFonts w:hint="eastAsia"/>
          <w:sz w:val="24"/>
        </w:rPr>
        <w:t>2</w:t>
      </w:r>
      <w:r w:rsidR="00733AAF" w:rsidRPr="00FE060F">
        <w:rPr>
          <w:rFonts w:hint="eastAsia"/>
          <w:sz w:val="24"/>
        </w:rPr>
        <w:t>．</w:t>
      </w:r>
      <w:r w:rsidRPr="00FE060F">
        <w:rPr>
          <w:rFonts w:hint="eastAsia"/>
          <w:sz w:val="24"/>
        </w:rPr>
        <w:t>对原</w:t>
      </w:r>
      <w:r w:rsidR="0093324B" w:rsidRPr="00FE060F">
        <w:rPr>
          <w:rFonts w:hint="eastAsia"/>
          <w:sz w:val="24"/>
        </w:rPr>
        <w:t>6.2.3</w:t>
      </w:r>
      <w:r w:rsidRPr="00FE060F">
        <w:rPr>
          <w:rFonts w:hint="eastAsia"/>
          <w:sz w:val="24"/>
        </w:rPr>
        <w:t>条款，</w:t>
      </w:r>
      <w:r w:rsidR="0093324B" w:rsidRPr="00FE060F">
        <w:rPr>
          <w:rFonts w:hint="eastAsia"/>
          <w:sz w:val="24"/>
        </w:rPr>
        <w:t>拆分为三个条款</w:t>
      </w:r>
      <w:r w:rsidR="00DD4764" w:rsidRPr="00FE060F">
        <w:rPr>
          <w:rFonts w:hint="eastAsia"/>
          <w:sz w:val="24"/>
        </w:rPr>
        <w:t>分别</w:t>
      </w:r>
      <w:r w:rsidR="0093324B" w:rsidRPr="00FE060F">
        <w:rPr>
          <w:rFonts w:hint="eastAsia"/>
          <w:sz w:val="24"/>
        </w:rPr>
        <w:t>对检测员、授权签字人、关键技术人员的要求进行阐述。</w:t>
      </w:r>
    </w:p>
    <w:p w:rsidR="00733AAF" w:rsidRDefault="00733AAF" w:rsidP="008F4A47">
      <w:pPr>
        <w:autoSpaceDE w:val="0"/>
        <w:autoSpaceDN w:val="0"/>
        <w:adjustRightInd w:val="0"/>
        <w:spacing w:line="360" w:lineRule="auto"/>
        <w:ind w:firstLine="420"/>
        <w:jc w:val="left"/>
        <w:rPr>
          <w:sz w:val="24"/>
        </w:rPr>
      </w:pPr>
      <w:r w:rsidRPr="00FE060F">
        <w:rPr>
          <w:rFonts w:hint="eastAsia"/>
          <w:sz w:val="24"/>
        </w:rPr>
        <w:t>说明：</w:t>
      </w:r>
      <w:r w:rsidR="0093324B" w:rsidRPr="00FE060F">
        <w:rPr>
          <w:rFonts w:hint="eastAsia"/>
          <w:sz w:val="24"/>
        </w:rPr>
        <w:t>增加了“注”解释</w:t>
      </w:r>
      <w:r w:rsidR="007668D5">
        <w:rPr>
          <w:rFonts w:hint="eastAsia"/>
          <w:sz w:val="24"/>
        </w:rPr>
        <w:t>同等能力</w:t>
      </w:r>
      <w:r w:rsidR="0093324B" w:rsidRPr="00FE060F">
        <w:rPr>
          <w:rFonts w:hint="eastAsia"/>
          <w:sz w:val="24"/>
        </w:rPr>
        <w:t>；</w:t>
      </w:r>
      <w:r w:rsidR="00DF7696" w:rsidRPr="00FE060F">
        <w:rPr>
          <w:rFonts w:hint="eastAsia"/>
          <w:sz w:val="24"/>
        </w:rPr>
        <w:t>对</w:t>
      </w:r>
      <w:r w:rsidR="0093324B" w:rsidRPr="00FE060F">
        <w:rPr>
          <w:rFonts w:hint="eastAsia"/>
          <w:sz w:val="24"/>
        </w:rPr>
        <w:t>授权签字人</w:t>
      </w:r>
      <w:r w:rsidR="00DD4764" w:rsidRPr="00FE060F">
        <w:rPr>
          <w:rFonts w:hint="eastAsia"/>
          <w:sz w:val="24"/>
        </w:rPr>
        <w:t>要求，</w:t>
      </w:r>
      <w:r w:rsidR="0093324B" w:rsidRPr="00FE060F">
        <w:rPr>
          <w:rFonts w:hint="eastAsia"/>
          <w:sz w:val="24"/>
        </w:rPr>
        <w:t>调整后的内容不与</w:t>
      </w:r>
      <w:r w:rsidR="0093324B" w:rsidRPr="00FE060F">
        <w:rPr>
          <w:sz w:val="24"/>
        </w:rPr>
        <w:t>CNAS-CL01-G001</w:t>
      </w:r>
      <w:r w:rsidR="0093324B" w:rsidRPr="00FE060F">
        <w:rPr>
          <w:rFonts w:hint="eastAsia"/>
          <w:sz w:val="24"/>
        </w:rPr>
        <w:t>《</w:t>
      </w:r>
      <w:r w:rsidR="0093324B" w:rsidRPr="00FE060F">
        <w:rPr>
          <w:sz w:val="24"/>
        </w:rPr>
        <w:t>CNAS-CL01</w:t>
      </w:r>
      <w:r w:rsidR="0093324B" w:rsidRPr="00FE060F">
        <w:rPr>
          <w:rFonts w:hint="eastAsia"/>
          <w:sz w:val="24"/>
        </w:rPr>
        <w:t>&lt;</w:t>
      </w:r>
      <w:r w:rsidR="0093324B" w:rsidRPr="00FE060F">
        <w:rPr>
          <w:sz w:val="24"/>
        </w:rPr>
        <w:t>检测和校准实验室能力认可准则</w:t>
      </w:r>
      <w:r w:rsidR="0093324B" w:rsidRPr="00FE060F">
        <w:rPr>
          <w:rFonts w:hint="eastAsia"/>
          <w:sz w:val="24"/>
        </w:rPr>
        <w:t>&gt;</w:t>
      </w:r>
      <w:r w:rsidR="0093324B" w:rsidRPr="00FE060F">
        <w:rPr>
          <w:sz w:val="24"/>
        </w:rPr>
        <w:t>应用要求</w:t>
      </w:r>
      <w:r w:rsidR="0093324B" w:rsidRPr="00FE060F">
        <w:rPr>
          <w:rFonts w:hint="eastAsia"/>
          <w:sz w:val="24"/>
        </w:rPr>
        <w:t>》的内容相矛盾</w:t>
      </w:r>
      <w:r w:rsidR="00FE060F">
        <w:rPr>
          <w:rFonts w:hint="eastAsia"/>
          <w:sz w:val="24"/>
        </w:rPr>
        <w:t>。</w:t>
      </w:r>
    </w:p>
    <w:p w:rsidR="00FE060F" w:rsidRPr="00FE060F" w:rsidRDefault="00FE060F" w:rsidP="008F4A47">
      <w:pPr>
        <w:autoSpaceDE w:val="0"/>
        <w:autoSpaceDN w:val="0"/>
        <w:adjustRightIn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3.</w:t>
      </w:r>
      <w:r w:rsidR="008F4A4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新增</w:t>
      </w:r>
      <w:r w:rsidRPr="00FE060F">
        <w:rPr>
          <w:sz w:val="24"/>
        </w:rPr>
        <w:t>6.3.5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7.3.3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7.5.1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7.6.1</w:t>
      </w:r>
      <w:r w:rsidRPr="00FE060F">
        <w:rPr>
          <w:rFonts w:hint="eastAsia"/>
          <w:sz w:val="24"/>
        </w:rPr>
        <w:t>、</w:t>
      </w:r>
      <w:r w:rsidRPr="00FE060F">
        <w:rPr>
          <w:sz w:val="24"/>
        </w:rPr>
        <w:t>7.7.1 j)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7.8.1</w:t>
      </w:r>
      <w:r w:rsidR="00DC0083">
        <w:rPr>
          <w:rFonts w:hint="eastAsia"/>
          <w:sz w:val="24"/>
        </w:rPr>
        <w:t>.2</w:t>
      </w:r>
      <w:r w:rsidRPr="00FE060F">
        <w:rPr>
          <w:rFonts w:hint="eastAsia"/>
          <w:sz w:val="24"/>
        </w:rPr>
        <w:t xml:space="preserve"> d</w:t>
      </w:r>
      <w:r w:rsidRPr="00FE060F">
        <w:rPr>
          <w:rFonts w:hint="eastAsia"/>
          <w:sz w:val="24"/>
        </w:rPr>
        <w:t>）条款。</w:t>
      </w:r>
    </w:p>
    <w:p w:rsidR="00FE060F" w:rsidRPr="00FE060F" w:rsidRDefault="00FE060F" w:rsidP="007668D5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FE060F">
        <w:rPr>
          <w:rFonts w:hint="eastAsia"/>
          <w:sz w:val="24"/>
        </w:rPr>
        <w:t>说明：根据化学检测领域的专业特点明确了相关要求，以满足</w:t>
      </w:r>
      <w:r w:rsidRPr="00FE060F">
        <w:rPr>
          <w:rFonts w:hint="eastAsia"/>
          <w:sz w:val="24"/>
        </w:rPr>
        <w:t xml:space="preserve">CNAS-CL01 </w:t>
      </w:r>
      <w:r w:rsidRPr="00FE060F">
        <w:rPr>
          <w:rFonts w:hint="eastAsia"/>
          <w:sz w:val="24"/>
        </w:rPr>
        <w:t>：</w:t>
      </w:r>
      <w:r w:rsidRPr="00FE060F">
        <w:rPr>
          <w:rFonts w:hint="eastAsia"/>
          <w:sz w:val="24"/>
        </w:rPr>
        <w:t>2018</w:t>
      </w:r>
      <w:r w:rsidRPr="00FE060F">
        <w:rPr>
          <w:rFonts w:hint="eastAsia"/>
          <w:sz w:val="24"/>
        </w:rPr>
        <w:t>对应条款的要求。</w:t>
      </w:r>
    </w:p>
    <w:p w:rsidR="00FE060F" w:rsidRDefault="00FE060F" w:rsidP="008F4A47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4</w:t>
      </w:r>
      <w:r w:rsidR="00733AAF" w:rsidRPr="00FE060F">
        <w:rPr>
          <w:rFonts w:hint="eastAsia"/>
          <w:sz w:val="24"/>
        </w:rPr>
        <w:t>．</w:t>
      </w:r>
      <w:r w:rsidR="00D95D5D" w:rsidRPr="00FE060F">
        <w:rPr>
          <w:rFonts w:hint="eastAsia"/>
          <w:sz w:val="24"/>
        </w:rPr>
        <w:t>对原条款“</w:t>
      </w:r>
      <w:r w:rsidRPr="00FE060F">
        <w:rPr>
          <w:sz w:val="24"/>
        </w:rPr>
        <w:t>5.2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6.2.6.1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6.3.1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6.3.2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6.4.1.2</w:t>
      </w:r>
      <w:r w:rsidRPr="00FE060F">
        <w:rPr>
          <w:rFonts w:hint="eastAsia"/>
          <w:sz w:val="24"/>
        </w:rPr>
        <w:t>、</w:t>
      </w:r>
      <w:r w:rsidRPr="00FE060F">
        <w:rPr>
          <w:sz w:val="24"/>
        </w:rPr>
        <w:t>6.4.3</w:t>
      </w:r>
      <w:r w:rsidRPr="00FE060F">
        <w:rPr>
          <w:rFonts w:hint="eastAsia"/>
          <w:sz w:val="24"/>
        </w:rPr>
        <w:t>.1</w:t>
      </w:r>
      <w:r w:rsidRPr="00FE060F">
        <w:rPr>
          <w:rFonts w:hint="eastAsia"/>
          <w:sz w:val="24"/>
        </w:rPr>
        <w:t>、</w:t>
      </w:r>
      <w:r w:rsidRPr="00FE060F">
        <w:rPr>
          <w:sz w:val="24"/>
        </w:rPr>
        <w:t>6.4.3.</w:t>
      </w:r>
      <w:r w:rsidRPr="00FE060F">
        <w:rPr>
          <w:rFonts w:hint="eastAsia"/>
          <w:sz w:val="24"/>
        </w:rPr>
        <w:t>2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6.4.10.2</w:t>
      </w:r>
      <w:r w:rsidR="008F4A47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6.4.10.3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6.6.2 c)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7.2.1.1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7.2.1.5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7.2.2.3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7.3.1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7.4.3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7.4.4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7.7.1.1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7.7.1.2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7.7.1.3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7.7.1.4</w:t>
      </w:r>
      <w:r w:rsidRPr="00FE060F">
        <w:rPr>
          <w:rFonts w:hint="eastAsia"/>
          <w:sz w:val="24"/>
        </w:rPr>
        <w:t>、</w:t>
      </w:r>
      <w:r w:rsidRPr="00FE060F">
        <w:rPr>
          <w:rFonts w:hint="eastAsia"/>
          <w:sz w:val="24"/>
        </w:rPr>
        <w:t>7.8.1 a</w:t>
      </w:r>
      <w:r w:rsidRPr="00FE060F">
        <w:rPr>
          <w:rFonts w:hint="eastAsia"/>
          <w:sz w:val="24"/>
        </w:rPr>
        <w:t>）、</w:t>
      </w:r>
      <w:r w:rsidRPr="00FE060F">
        <w:rPr>
          <w:rFonts w:hint="eastAsia"/>
          <w:sz w:val="24"/>
        </w:rPr>
        <w:t>7.8.1 c</w:t>
      </w:r>
      <w:r w:rsidRPr="00FE060F">
        <w:rPr>
          <w:rFonts w:hint="eastAsia"/>
          <w:sz w:val="24"/>
        </w:rPr>
        <w:t>）</w:t>
      </w:r>
      <w:r w:rsidR="00A07092" w:rsidRPr="00FE060F">
        <w:rPr>
          <w:rFonts w:hint="eastAsia"/>
          <w:sz w:val="24"/>
        </w:rPr>
        <w:t>等条款</w:t>
      </w:r>
      <w:r w:rsidRPr="00FE060F">
        <w:rPr>
          <w:rFonts w:hint="eastAsia"/>
          <w:sz w:val="24"/>
        </w:rPr>
        <w:t>内容和</w:t>
      </w:r>
      <w:r w:rsidR="00A07092" w:rsidRPr="00FE060F">
        <w:rPr>
          <w:rFonts w:hint="eastAsia"/>
          <w:sz w:val="24"/>
        </w:rPr>
        <w:t>措辞</w:t>
      </w:r>
      <w:r w:rsidRPr="00FE060F">
        <w:rPr>
          <w:rFonts w:hint="eastAsia"/>
          <w:sz w:val="24"/>
        </w:rPr>
        <w:t>进行了</w:t>
      </w:r>
      <w:r>
        <w:rPr>
          <w:rFonts w:hint="eastAsia"/>
          <w:sz w:val="24"/>
        </w:rPr>
        <w:t>全面修改。</w:t>
      </w:r>
    </w:p>
    <w:p w:rsidR="00733AAF" w:rsidRPr="00FE060F" w:rsidRDefault="00FE060F" w:rsidP="00FE060F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内容</w:t>
      </w:r>
      <w:r w:rsidR="00A07092" w:rsidRPr="00FE060F">
        <w:rPr>
          <w:rFonts w:hint="eastAsia"/>
          <w:sz w:val="24"/>
        </w:rPr>
        <w:t>详见</w:t>
      </w:r>
      <w:r w:rsidR="00A07092" w:rsidRPr="00FE060F">
        <w:rPr>
          <w:rFonts w:hint="eastAsia"/>
          <w:sz w:val="24"/>
        </w:rPr>
        <w:t>CNAS-CL01-A002</w:t>
      </w:r>
      <w:r w:rsidR="00A07092" w:rsidRPr="00FE060F">
        <w:rPr>
          <w:rFonts w:hint="eastAsia"/>
          <w:sz w:val="24"/>
        </w:rPr>
        <w:t>附录</w:t>
      </w:r>
      <w:r w:rsidR="00A07092" w:rsidRPr="00FE060F">
        <w:rPr>
          <w:rFonts w:hint="eastAsia"/>
          <w:sz w:val="24"/>
        </w:rPr>
        <w:t>A</w:t>
      </w:r>
      <w:r w:rsidR="00A07092" w:rsidRPr="00FE060F">
        <w:rPr>
          <w:rFonts w:hint="eastAsia"/>
          <w:sz w:val="24"/>
        </w:rPr>
        <w:t>。</w:t>
      </w:r>
    </w:p>
    <w:p w:rsidR="007668D5" w:rsidRDefault="007668D5" w:rsidP="00A351A0">
      <w:pPr>
        <w:spacing w:line="360" w:lineRule="auto"/>
        <w:ind w:firstLineChars="743" w:firstLine="2080"/>
        <w:jc w:val="right"/>
        <w:rPr>
          <w:rFonts w:ascii="楷体_GB2312" w:eastAsia="楷体_GB2312"/>
          <w:color w:val="000000"/>
          <w:sz w:val="28"/>
          <w:szCs w:val="28"/>
        </w:rPr>
      </w:pPr>
    </w:p>
    <w:p w:rsidR="00A351A0" w:rsidRDefault="00A351A0" w:rsidP="00A351A0">
      <w:pPr>
        <w:spacing w:line="360" w:lineRule="auto"/>
        <w:ind w:firstLineChars="743" w:firstLine="2080"/>
        <w:jc w:val="right"/>
        <w:rPr>
          <w:rFonts w:ascii="楷体_GB2312" w:eastAsia="楷体_GB2312"/>
          <w:color w:val="000000"/>
          <w:sz w:val="28"/>
          <w:szCs w:val="28"/>
        </w:rPr>
      </w:pPr>
      <w:r w:rsidRPr="00FC0ECD">
        <w:rPr>
          <w:rFonts w:ascii="楷体_GB2312" w:eastAsia="楷体_GB2312"/>
          <w:color w:val="000000"/>
          <w:sz w:val="28"/>
          <w:szCs w:val="28"/>
        </w:rPr>
        <w:t>20</w:t>
      </w:r>
      <w:r w:rsidR="00644869">
        <w:rPr>
          <w:rFonts w:ascii="楷体_GB2312" w:eastAsia="楷体_GB2312" w:hint="eastAsia"/>
          <w:color w:val="000000"/>
          <w:sz w:val="28"/>
          <w:szCs w:val="28"/>
        </w:rPr>
        <w:t>20</w:t>
      </w:r>
      <w:r w:rsidRPr="00FC0ECD">
        <w:rPr>
          <w:rFonts w:ascii="楷体_GB2312" w:eastAsia="楷体_GB2312"/>
          <w:color w:val="000000"/>
          <w:sz w:val="28"/>
          <w:szCs w:val="28"/>
        </w:rPr>
        <w:t>-</w:t>
      </w:r>
      <w:r w:rsidR="006E3556">
        <w:rPr>
          <w:rFonts w:ascii="楷体_GB2312" w:eastAsia="楷体_GB2312" w:hint="eastAsia"/>
          <w:color w:val="000000"/>
          <w:sz w:val="28"/>
          <w:szCs w:val="28"/>
        </w:rPr>
        <w:t>8</w:t>
      </w:r>
      <w:r w:rsidRPr="00FC0ECD">
        <w:rPr>
          <w:rFonts w:ascii="楷体_GB2312" w:eastAsia="楷体_GB2312"/>
          <w:color w:val="000000"/>
          <w:sz w:val="28"/>
          <w:szCs w:val="28"/>
        </w:rPr>
        <w:t>-</w:t>
      </w:r>
      <w:r w:rsidR="006E3556">
        <w:rPr>
          <w:rFonts w:ascii="楷体_GB2312" w:eastAsia="楷体_GB2312" w:hint="eastAsia"/>
          <w:color w:val="000000"/>
          <w:sz w:val="28"/>
          <w:szCs w:val="28"/>
        </w:rPr>
        <w:t>7</w:t>
      </w:r>
    </w:p>
    <w:p w:rsidR="00A351A0" w:rsidRDefault="00A351A0">
      <w:pPr>
        <w:widowControl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28"/>
          <w:szCs w:val="28"/>
        </w:rPr>
        <w:br w:type="page"/>
      </w:r>
    </w:p>
    <w:p w:rsidR="00A351A0" w:rsidRDefault="00A351A0" w:rsidP="00AB1506">
      <w:pPr>
        <w:spacing w:line="360" w:lineRule="auto"/>
        <w:ind w:right="140"/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lastRenderedPageBreak/>
        <w:t>附件</w:t>
      </w:r>
      <w:r w:rsidR="00FE060F" w:rsidRPr="00A351A0">
        <w:rPr>
          <w:rFonts w:ascii="Arial" w:hAnsi="Arial" w:cs="Arial"/>
          <w:b/>
          <w:sz w:val="28"/>
          <w:szCs w:val="28"/>
        </w:rPr>
        <w:t>CNAS-</w:t>
      </w:r>
      <w:r w:rsidR="00FE060F" w:rsidRPr="00A351A0">
        <w:rPr>
          <w:rFonts w:ascii="Arial" w:hAnsi="Arial" w:cs="Arial" w:hint="eastAsia"/>
          <w:b/>
          <w:sz w:val="28"/>
          <w:szCs w:val="28"/>
        </w:rPr>
        <w:t>CL01-A002</w:t>
      </w:r>
      <w:r w:rsidR="00FE060F">
        <w:rPr>
          <w:rFonts w:ascii="宋体" w:hAnsi="宋体" w:hint="eastAsia"/>
          <w:b/>
          <w:sz w:val="28"/>
          <w:szCs w:val="28"/>
        </w:rPr>
        <w:t>修订前后</w:t>
      </w:r>
      <w:r w:rsidRPr="00A351A0">
        <w:rPr>
          <w:rFonts w:ascii="Arial" w:hAnsi="Arial" w:cs="Arial" w:hint="eastAsia"/>
          <w:b/>
          <w:sz w:val="28"/>
          <w:szCs w:val="28"/>
        </w:rPr>
        <w:t>条款</w:t>
      </w:r>
      <w:r w:rsidRPr="00A351A0">
        <w:rPr>
          <w:rFonts w:ascii="宋体" w:hAnsi="宋体" w:hint="eastAsia"/>
          <w:b/>
          <w:sz w:val="28"/>
          <w:szCs w:val="28"/>
        </w:rPr>
        <w:t>对照表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111"/>
      </w:tblGrid>
      <w:tr w:rsidR="00AB1506" w:rsidRPr="00AB26A1" w:rsidTr="00AB1506">
        <w:trPr>
          <w:trHeight w:val="587"/>
        </w:trPr>
        <w:tc>
          <w:tcPr>
            <w:tcW w:w="675" w:type="dxa"/>
            <w:vMerge w:val="restart"/>
            <w:vAlign w:val="center"/>
          </w:tcPr>
          <w:p w:rsidR="00AB1506" w:rsidRPr="00AB26A1" w:rsidRDefault="00AB1506" w:rsidP="00FF630D">
            <w:pPr>
              <w:jc w:val="center"/>
              <w:rPr>
                <w:b/>
              </w:rPr>
            </w:pPr>
            <w:r w:rsidRPr="00AB26A1">
              <w:rPr>
                <w:rFonts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:rsidR="00AB1506" w:rsidRPr="00AB26A1" w:rsidRDefault="00AB1506" w:rsidP="00AB1506">
            <w:pPr>
              <w:jc w:val="center"/>
              <w:rPr>
                <w:rFonts w:ascii="Arial" w:hAnsi="Arial" w:cs="Arial"/>
                <w:sz w:val="24"/>
              </w:rPr>
            </w:pPr>
            <w:r w:rsidRPr="00AB26A1">
              <w:rPr>
                <w:rFonts w:ascii="Arial" w:hAnsi="Arial" w:cs="Arial"/>
                <w:sz w:val="24"/>
              </w:rPr>
              <w:t>CNAS</w:t>
            </w:r>
            <w:r w:rsidRPr="00AB26A1">
              <w:rPr>
                <w:rFonts w:ascii="Arial" w:hAnsi="Arial" w:cs="Arial" w:hint="eastAsia"/>
                <w:sz w:val="24"/>
              </w:rPr>
              <w:t>-CL01-A002</w:t>
            </w:r>
            <w:r>
              <w:rPr>
                <w:rFonts w:ascii="Arial" w:hAnsi="Arial" w:cs="Arial" w:hint="eastAsia"/>
                <w:sz w:val="24"/>
              </w:rPr>
              <w:t>:</w:t>
            </w:r>
            <w:r w:rsidRPr="00AB26A1"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2018</w:t>
            </w:r>
            <w:r w:rsidRPr="00AB26A1">
              <w:rPr>
                <w:rFonts w:ascii="Arial" w:hAnsi="Arial" w:cs="Arial" w:hint="eastAsia"/>
                <w:sz w:val="24"/>
              </w:rPr>
              <w:t>(</w:t>
            </w:r>
            <w:r w:rsidRPr="00AB26A1">
              <w:rPr>
                <w:rFonts w:ascii="Arial" w:hAnsi="Arial" w:cs="Arial" w:hint="eastAsia"/>
                <w:sz w:val="24"/>
              </w:rPr>
              <w:t>修订前</w:t>
            </w:r>
            <w:r w:rsidRPr="00AB26A1">
              <w:rPr>
                <w:rFonts w:ascii="Arial" w:hAnsi="Arial" w:cs="Arial" w:hint="eastAsia"/>
                <w:sz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AB1506" w:rsidRPr="00AB26A1" w:rsidRDefault="00AB1506" w:rsidP="00FF630D">
            <w:pPr>
              <w:jc w:val="center"/>
              <w:rPr>
                <w:rFonts w:ascii="Arial" w:hAnsi="Arial" w:cs="Arial"/>
                <w:sz w:val="24"/>
              </w:rPr>
            </w:pPr>
            <w:r w:rsidRPr="00AB26A1">
              <w:rPr>
                <w:rFonts w:ascii="Arial" w:hAnsi="Arial" w:cs="Arial"/>
                <w:sz w:val="24"/>
              </w:rPr>
              <w:t>CNAS</w:t>
            </w:r>
            <w:r w:rsidRPr="00AB26A1">
              <w:rPr>
                <w:rFonts w:ascii="Arial" w:hAnsi="Arial" w:cs="Arial" w:hint="eastAsia"/>
                <w:sz w:val="24"/>
              </w:rPr>
              <w:t>-CL01-A002</w:t>
            </w:r>
            <w:r>
              <w:rPr>
                <w:rFonts w:ascii="Arial" w:hAnsi="Arial" w:cs="Arial" w:hint="eastAsia"/>
                <w:sz w:val="24"/>
              </w:rPr>
              <w:t>:</w:t>
            </w:r>
            <w:r w:rsidRPr="00AB26A1" w:rsidDel="00E3042D">
              <w:rPr>
                <w:rFonts w:ascii="Arial" w:hAnsi="Arial" w:cs="Arial" w:hint="eastAsia"/>
                <w:sz w:val="24"/>
              </w:rPr>
              <w:t xml:space="preserve"> </w:t>
            </w:r>
            <w:r w:rsidRPr="00AB26A1">
              <w:rPr>
                <w:rFonts w:ascii="Arial" w:hAnsi="Arial" w:cs="Arial" w:hint="eastAsia"/>
                <w:sz w:val="24"/>
              </w:rPr>
              <w:t>(</w:t>
            </w:r>
            <w:r w:rsidRPr="00AB26A1">
              <w:rPr>
                <w:rFonts w:ascii="Arial" w:hAnsi="Arial" w:cs="Arial" w:hint="eastAsia"/>
                <w:sz w:val="24"/>
              </w:rPr>
              <w:t>修订后</w:t>
            </w:r>
            <w:r w:rsidRPr="00AB26A1">
              <w:rPr>
                <w:rFonts w:ascii="Arial" w:hAnsi="Arial" w:cs="Arial" w:hint="eastAsia"/>
                <w:sz w:val="24"/>
              </w:rPr>
              <w:t>)</w:t>
            </w:r>
          </w:p>
        </w:tc>
      </w:tr>
      <w:tr w:rsidR="00AB1506" w:rsidRPr="00AB26A1" w:rsidTr="00AB1506">
        <w:trPr>
          <w:trHeight w:val="567"/>
        </w:trPr>
        <w:tc>
          <w:tcPr>
            <w:tcW w:w="675" w:type="dxa"/>
            <w:vMerge/>
            <w:vAlign w:val="center"/>
          </w:tcPr>
          <w:p w:rsidR="00AB1506" w:rsidRPr="00AB26A1" w:rsidRDefault="00AB1506" w:rsidP="00FF630D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B1506" w:rsidRPr="00AB26A1" w:rsidRDefault="00AB1506" w:rsidP="00AB1506">
            <w:pPr>
              <w:jc w:val="center"/>
              <w:rPr>
                <w:szCs w:val="21"/>
              </w:rPr>
            </w:pPr>
            <w:r w:rsidRPr="00AB26A1">
              <w:rPr>
                <w:rFonts w:hint="eastAsia"/>
                <w:szCs w:val="21"/>
              </w:rPr>
              <w:t>条款号</w:t>
            </w:r>
          </w:p>
        </w:tc>
        <w:tc>
          <w:tcPr>
            <w:tcW w:w="4111" w:type="dxa"/>
            <w:vAlign w:val="center"/>
          </w:tcPr>
          <w:p w:rsidR="00AB1506" w:rsidRPr="00AB26A1" w:rsidRDefault="00AB1506" w:rsidP="00FF630D">
            <w:pPr>
              <w:jc w:val="center"/>
              <w:rPr>
                <w:szCs w:val="21"/>
              </w:rPr>
            </w:pPr>
            <w:r w:rsidRPr="00AB26A1">
              <w:rPr>
                <w:rFonts w:hint="eastAsia"/>
                <w:szCs w:val="21"/>
              </w:rPr>
              <w:t>条款号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 w:rsidRPr="00F66C4F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5.2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5.2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Merge w:val="restart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6.2.3.1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Merge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6.2.3.2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Merge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6.2.3.3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6.2.6.1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6.2.5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6.2.6.2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6.3.1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6.3.1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6.3.2</w:t>
            </w:r>
          </w:p>
        </w:tc>
        <w:tc>
          <w:tcPr>
            <w:tcW w:w="4111" w:type="dxa"/>
            <w:vAlign w:val="center"/>
          </w:tcPr>
          <w:p w:rsidR="00AB1506" w:rsidRPr="007668D5" w:rsidRDefault="006E355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6.3.2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pacing w:val="-1"/>
                <w:szCs w:val="21"/>
                <w:lang w:bidi="ar"/>
              </w:rPr>
              <w:t>6.3.5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6.4.1.2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pacing w:val="-1"/>
                <w:szCs w:val="21"/>
                <w:lang w:bidi="ar"/>
              </w:rPr>
            </w:pPr>
            <w:r w:rsidRPr="007668D5">
              <w:rPr>
                <w:szCs w:val="21"/>
              </w:rPr>
              <w:t>6.4.3.1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6.4.3.1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6.4.3.2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6.4.3.2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6.4.3.3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6.4.10.1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6.4.10.2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7.2.1.1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6.4.10.3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6.4.10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6.6.2 c)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6.6.2 c)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7.1</w:t>
            </w:r>
            <w:r w:rsidR="006E3556">
              <w:rPr>
                <w:rFonts w:hint="eastAsia"/>
                <w:szCs w:val="21"/>
              </w:rPr>
              <w:t>.1</w:t>
            </w:r>
          </w:p>
        </w:tc>
      </w:tr>
      <w:tr w:rsidR="006E3556" w:rsidRPr="00F66C4F" w:rsidTr="003D2509">
        <w:trPr>
          <w:trHeight w:val="567"/>
        </w:trPr>
        <w:tc>
          <w:tcPr>
            <w:tcW w:w="675" w:type="dxa"/>
            <w:vAlign w:val="center"/>
          </w:tcPr>
          <w:p w:rsidR="006E3556" w:rsidRPr="00F66C4F" w:rsidRDefault="006E3556" w:rsidP="003D25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6E3556" w:rsidRPr="007668D5" w:rsidRDefault="006E3556" w:rsidP="003D2509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7.2.1.1</w:t>
            </w:r>
          </w:p>
        </w:tc>
        <w:tc>
          <w:tcPr>
            <w:tcW w:w="4111" w:type="dxa"/>
            <w:vAlign w:val="center"/>
          </w:tcPr>
          <w:p w:rsidR="006E3556" w:rsidRPr="007668D5" w:rsidRDefault="006E3556" w:rsidP="003D2509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7.2.1.1</w:t>
            </w:r>
          </w:p>
        </w:tc>
      </w:tr>
      <w:tr w:rsidR="006E3556" w:rsidRPr="00F66C4F" w:rsidTr="00AB1506">
        <w:trPr>
          <w:trHeight w:val="567"/>
        </w:trPr>
        <w:tc>
          <w:tcPr>
            <w:tcW w:w="675" w:type="dxa"/>
            <w:vAlign w:val="center"/>
          </w:tcPr>
          <w:p w:rsidR="006E3556" w:rsidRDefault="006E3556" w:rsidP="00FF630D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E3556" w:rsidRPr="007668D5" w:rsidRDefault="006E355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E3556" w:rsidRPr="007668D5" w:rsidRDefault="006E3556" w:rsidP="00FF6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7.2.1.3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7.2.1.5</w:t>
            </w:r>
          </w:p>
        </w:tc>
        <w:tc>
          <w:tcPr>
            <w:tcW w:w="4111" w:type="dxa"/>
            <w:vAlign w:val="center"/>
          </w:tcPr>
          <w:p w:rsidR="00AB1506" w:rsidRPr="007668D5" w:rsidRDefault="006E3556" w:rsidP="00FF63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7.2.1.5 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19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7.2.2.3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7.2.2.3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kern w:val="0"/>
                <w:szCs w:val="21"/>
              </w:rPr>
              <w:t>7.3.1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kern w:val="0"/>
                <w:szCs w:val="21"/>
              </w:rPr>
              <w:t>7.3.1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kern w:val="0"/>
                <w:szCs w:val="21"/>
              </w:rPr>
              <w:t>7.3.3</w:t>
            </w:r>
          </w:p>
        </w:tc>
      </w:tr>
      <w:tr w:rsidR="006E3556" w:rsidRPr="00F66C4F" w:rsidTr="00AB1506">
        <w:trPr>
          <w:trHeight w:val="567"/>
        </w:trPr>
        <w:tc>
          <w:tcPr>
            <w:tcW w:w="675" w:type="dxa"/>
            <w:vAlign w:val="center"/>
          </w:tcPr>
          <w:p w:rsidR="006E3556" w:rsidRDefault="006E3556" w:rsidP="00FF630D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E3556" w:rsidRPr="007668D5" w:rsidRDefault="006E3556" w:rsidP="00AB1506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7.4.1.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:rsidR="006E3556" w:rsidRPr="007668D5" w:rsidRDefault="006E3556" w:rsidP="00FF630D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7.4.1.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kern w:val="0"/>
                <w:szCs w:val="21"/>
              </w:rPr>
            </w:pPr>
            <w:r w:rsidRPr="007668D5">
              <w:rPr>
                <w:szCs w:val="21"/>
              </w:rPr>
              <w:t>7.4.1.3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7.4.3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7.4.3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7.4.4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7.5.1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bCs/>
                <w:kern w:val="0"/>
                <w:szCs w:val="21"/>
              </w:rPr>
              <w:t>7.6.1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7.7.1.1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bCs/>
                <w:kern w:val="0"/>
                <w:szCs w:val="21"/>
              </w:rPr>
            </w:pPr>
            <w:r w:rsidRPr="007668D5">
              <w:rPr>
                <w:szCs w:val="21"/>
              </w:rPr>
              <w:t>7.7.1</w:t>
            </w:r>
          </w:p>
        </w:tc>
      </w:tr>
      <w:tr w:rsidR="00AB1506" w:rsidRPr="00F66C4F" w:rsidTr="007668D5">
        <w:trPr>
          <w:trHeight w:val="467"/>
        </w:trPr>
        <w:tc>
          <w:tcPr>
            <w:tcW w:w="675" w:type="dxa"/>
            <w:vMerge w:val="restart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969" w:type="dxa"/>
            <w:vMerge w:val="restart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7.7.1.2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bCs/>
                <w:kern w:val="0"/>
                <w:szCs w:val="21"/>
              </w:rPr>
            </w:pPr>
            <w:r w:rsidRPr="007668D5">
              <w:rPr>
                <w:szCs w:val="21"/>
              </w:rPr>
              <w:t>7.7.1 a)</w:t>
            </w:r>
          </w:p>
        </w:tc>
      </w:tr>
      <w:tr w:rsidR="00AB1506" w:rsidRPr="00F66C4F" w:rsidTr="007668D5">
        <w:trPr>
          <w:trHeight w:val="558"/>
        </w:trPr>
        <w:tc>
          <w:tcPr>
            <w:tcW w:w="675" w:type="dxa"/>
            <w:vMerge/>
            <w:vAlign w:val="center"/>
          </w:tcPr>
          <w:p w:rsidR="00AB1506" w:rsidRDefault="00AB1506" w:rsidP="00FF630D">
            <w:pPr>
              <w:rPr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7.7.1 c)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7.7.1.3</w:t>
            </w:r>
          </w:p>
        </w:tc>
        <w:tc>
          <w:tcPr>
            <w:tcW w:w="4111" w:type="dxa"/>
            <w:vAlign w:val="center"/>
          </w:tcPr>
          <w:p w:rsidR="00AB1506" w:rsidRPr="007668D5" w:rsidRDefault="006E3556" w:rsidP="00FF630D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 xml:space="preserve">7.7.1 </w:t>
            </w:r>
            <w:r>
              <w:rPr>
                <w:rFonts w:hint="eastAsia"/>
                <w:szCs w:val="21"/>
              </w:rPr>
              <w:t>d</w:t>
            </w:r>
            <w:r w:rsidRPr="007668D5">
              <w:rPr>
                <w:szCs w:val="21"/>
              </w:rPr>
              <w:t>)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7.7.1.4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bCs/>
                <w:kern w:val="0"/>
                <w:szCs w:val="21"/>
              </w:rPr>
            </w:pPr>
            <w:r w:rsidRPr="007668D5">
              <w:rPr>
                <w:szCs w:val="21"/>
              </w:rPr>
              <w:t>7.7.1 f)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7.7.2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bCs/>
                <w:kern w:val="0"/>
                <w:szCs w:val="21"/>
              </w:rPr>
            </w:pPr>
            <w:r w:rsidRPr="007668D5">
              <w:rPr>
                <w:szCs w:val="21"/>
              </w:rPr>
              <w:t>7.7.1 j)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7.8.1 a</w:t>
            </w:r>
            <w:r w:rsidRPr="007668D5">
              <w:rPr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AB1506" w:rsidRPr="007668D5" w:rsidRDefault="00AB1506" w:rsidP="006E355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7.8.1</w:t>
            </w:r>
            <w:r w:rsidR="006E3556">
              <w:rPr>
                <w:rFonts w:hint="eastAsia"/>
                <w:szCs w:val="21"/>
              </w:rPr>
              <w:t>.2</w:t>
            </w:r>
            <w:r w:rsidRPr="007668D5">
              <w:rPr>
                <w:szCs w:val="21"/>
              </w:rPr>
              <w:t>a</w:t>
            </w:r>
            <w:r w:rsidRPr="007668D5">
              <w:rPr>
                <w:szCs w:val="21"/>
              </w:rPr>
              <w:t>）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7.8.1 c</w:t>
            </w:r>
            <w:r w:rsidRPr="007668D5">
              <w:rPr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AB1506" w:rsidRPr="007668D5" w:rsidRDefault="006E3556" w:rsidP="00FF630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7.8.1</w:t>
            </w:r>
            <w:r>
              <w:rPr>
                <w:rFonts w:hint="eastAsia"/>
                <w:szCs w:val="21"/>
              </w:rPr>
              <w:t>.2</w:t>
            </w:r>
            <w:r w:rsidR="00AB1506" w:rsidRPr="007668D5">
              <w:rPr>
                <w:szCs w:val="21"/>
              </w:rPr>
              <w:t>c</w:t>
            </w:r>
            <w:r w:rsidR="00AB1506" w:rsidRPr="007668D5">
              <w:rPr>
                <w:szCs w:val="21"/>
              </w:rPr>
              <w:t>）</w:t>
            </w:r>
          </w:p>
        </w:tc>
      </w:tr>
      <w:tr w:rsidR="00AB1506" w:rsidRPr="00F66C4F" w:rsidTr="00AB1506">
        <w:trPr>
          <w:trHeight w:val="567"/>
        </w:trPr>
        <w:tc>
          <w:tcPr>
            <w:tcW w:w="675" w:type="dxa"/>
            <w:vAlign w:val="center"/>
          </w:tcPr>
          <w:p w:rsidR="00AB1506" w:rsidRPr="00F66C4F" w:rsidRDefault="00AB1506" w:rsidP="00FF63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969" w:type="dxa"/>
            <w:vAlign w:val="center"/>
          </w:tcPr>
          <w:p w:rsidR="00AB1506" w:rsidRPr="007668D5" w:rsidRDefault="00AB1506" w:rsidP="00AB1506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1506" w:rsidRPr="007668D5" w:rsidRDefault="00AB1506" w:rsidP="00FF630D">
            <w:pPr>
              <w:jc w:val="center"/>
              <w:rPr>
                <w:szCs w:val="21"/>
              </w:rPr>
            </w:pPr>
            <w:r w:rsidRPr="007668D5">
              <w:rPr>
                <w:szCs w:val="21"/>
              </w:rPr>
              <w:t>7.8.1</w:t>
            </w:r>
            <w:r w:rsidR="006E3556">
              <w:rPr>
                <w:rFonts w:hint="eastAsia"/>
                <w:szCs w:val="21"/>
              </w:rPr>
              <w:t>.2</w:t>
            </w:r>
            <w:r w:rsidRPr="007668D5">
              <w:rPr>
                <w:szCs w:val="21"/>
              </w:rPr>
              <w:t xml:space="preserve"> d</w:t>
            </w:r>
            <w:r w:rsidRPr="007668D5">
              <w:rPr>
                <w:szCs w:val="21"/>
              </w:rPr>
              <w:t>）</w:t>
            </w:r>
          </w:p>
        </w:tc>
      </w:tr>
    </w:tbl>
    <w:p w:rsidR="00AB1506" w:rsidRPr="00A351A0" w:rsidRDefault="00AB1506" w:rsidP="00AB1506">
      <w:pPr>
        <w:spacing w:line="360" w:lineRule="auto"/>
        <w:ind w:right="140"/>
        <w:rPr>
          <w:rFonts w:ascii="Arial" w:hAnsi="Arial" w:cs="Arial"/>
          <w:kern w:val="0"/>
          <w:sz w:val="28"/>
          <w:szCs w:val="28"/>
        </w:rPr>
      </w:pPr>
    </w:p>
    <w:sectPr w:rsidR="00AB1506" w:rsidRPr="00A3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07" w:rsidRDefault="00AD7107" w:rsidP="00132744">
      <w:r>
        <w:separator/>
      </w:r>
    </w:p>
  </w:endnote>
  <w:endnote w:type="continuationSeparator" w:id="0">
    <w:p w:rsidR="00AD7107" w:rsidRDefault="00AD7107" w:rsidP="0013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07" w:rsidRDefault="00AD7107" w:rsidP="00132744">
      <w:r>
        <w:separator/>
      </w:r>
    </w:p>
  </w:footnote>
  <w:footnote w:type="continuationSeparator" w:id="0">
    <w:p w:rsidR="00AD7107" w:rsidRDefault="00AD7107" w:rsidP="0013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B8"/>
    <w:rsid w:val="000C1304"/>
    <w:rsid w:val="000F62B2"/>
    <w:rsid w:val="00132744"/>
    <w:rsid w:val="00153B5E"/>
    <w:rsid w:val="0021337B"/>
    <w:rsid w:val="002258B6"/>
    <w:rsid w:val="00262655"/>
    <w:rsid w:val="002D503C"/>
    <w:rsid w:val="004D06B8"/>
    <w:rsid w:val="00525760"/>
    <w:rsid w:val="00544704"/>
    <w:rsid w:val="00593ED6"/>
    <w:rsid w:val="005F46E6"/>
    <w:rsid w:val="00644869"/>
    <w:rsid w:val="006E3556"/>
    <w:rsid w:val="00733AAF"/>
    <w:rsid w:val="00755A3F"/>
    <w:rsid w:val="007668D5"/>
    <w:rsid w:val="007A31BE"/>
    <w:rsid w:val="008F4A47"/>
    <w:rsid w:val="0093324B"/>
    <w:rsid w:val="00A07092"/>
    <w:rsid w:val="00A152D2"/>
    <w:rsid w:val="00A34902"/>
    <w:rsid w:val="00A351A0"/>
    <w:rsid w:val="00A977E3"/>
    <w:rsid w:val="00AB1506"/>
    <w:rsid w:val="00AD7107"/>
    <w:rsid w:val="00C24465"/>
    <w:rsid w:val="00C90CCD"/>
    <w:rsid w:val="00CA1157"/>
    <w:rsid w:val="00D95D5D"/>
    <w:rsid w:val="00DC0083"/>
    <w:rsid w:val="00DD4764"/>
    <w:rsid w:val="00DF7696"/>
    <w:rsid w:val="00E50F72"/>
    <w:rsid w:val="00E739A3"/>
    <w:rsid w:val="00E8027A"/>
    <w:rsid w:val="00F65057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51A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51A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3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7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744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93324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rsid w:val="00AB150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351A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351A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3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7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744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93324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rsid w:val="00AB1506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孙培琴</dc:creator>
  <cp:lastModifiedBy>孙培琴</cp:lastModifiedBy>
  <cp:revision>13</cp:revision>
  <dcterms:created xsi:type="dcterms:W3CDTF">2018-01-31T08:35:00Z</dcterms:created>
  <dcterms:modified xsi:type="dcterms:W3CDTF">2020-08-07T08:26:00Z</dcterms:modified>
</cp:coreProperties>
</file>